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98926">
      <w:pPr>
        <w:pStyle w:val="2"/>
        <w:spacing w:line="248" w:lineRule="auto"/>
      </w:pPr>
    </w:p>
    <w:p w14:paraId="47091549">
      <w:pPr>
        <w:pStyle w:val="2"/>
        <w:spacing w:line="248" w:lineRule="auto"/>
      </w:pPr>
    </w:p>
    <w:p w14:paraId="4FDE97A1">
      <w:pPr>
        <w:pStyle w:val="2"/>
        <w:spacing w:line="248" w:lineRule="auto"/>
      </w:pPr>
    </w:p>
    <w:p w14:paraId="7679A8C0">
      <w:pPr>
        <w:pStyle w:val="2"/>
        <w:spacing w:line="248" w:lineRule="auto"/>
      </w:pPr>
    </w:p>
    <w:p w14:paraId="26FAFCB0">
      <w:pPr>
        <w:pStyle w:val="2"/>
        <w:spacing w:line="248" w:lineRule="auto"/>
      </w:pPr>
    </w:p>
    <w:p w14:paraId="4B42728D">
      <w:pPr>
        <w:pStyle w:val="2"/>
        <w:spacing w:line="249" w:lineRule="auto"/>
      </w:pPr>
    </w:p>
    <w:p w14:paraId="7A8D8397">
      <w:pPr>
        <w:spacing w:before="234" w:line="218" w:lineRule="auto"/>
        <w:ind w:left="1579"/>
        <w:outlineLvl w:val="0"/>
        <w:rPr>
          <w:rFonts w:ascii="宋体" w:hAnsi="宋体" w:eastAsia="宋体" w:cs="宋体"/>
          <w:sz w:val="72"/>
          <w:szCs w:val="72"/>
        </w:rPr>
      </w:pPr>
      <w:r>
        <w:rPr>
          <w:rFonts w:ascii="Times New Roman" w:hAnsi="Times New Roman" w:eastAsia="Times New Roman" w:cs="Times New Roman"/>
          <w:spacing w:val="-2"/>
          <w:sz w:val="72"/>
          <w:szCs w:val="72"/>
        </w:rPr>
        <w:t>202</w:t>
      </w:r>
      <w:r>
        <w:rPr>
          <w:rFonts w:hint="eastAsia" w:ascii="Times New Roman" w:hAnsi="Times New Roman" w:eastAsia="宋体" w:cs="Times New Roman"/>
          <w:spacing w:val="-2"/>
          <w:sz w:val="72"/>
          <w:szCs w:val="72"/>
          <w:lang w:val="en-US" w:eastAsia="zh-CN"/>
        </w:rPr>
        <w:t>4</w:t>
      </w:r>
      <w:r>
        <w:rPr>
          <w:rFonts w:ascii="宋体" w:hAnsi="宋体" w:eastAsia="宋体" w:cs="宋体"/>
          <w:spacing w:val="-2"/>
          <w:sz w:val="72"/>
          <w:szCs w:val="72"/>
        </w:rPr>
        <w:t>年度社会责任报告</w:t>
      </w:r>
    </w:p>
    <w:p w14:paraId="558F958A">
      <w:pPr>
        <w:pStyle w:val="2"/>
        <w:spacing w:line="251" w:lineRule="auto"/>
      </w:pPr>
    </w:p>
    <w:p w14:paraId="0773BCF3">
      <w:pPr>
        <w:pStyle w:val="2"/>
        <w:spacing w:line="251" w:lineRule="auto"/>
      </w:pPr>
    </w:p>
    <w:p w14:paraId="2B30CA20">
      <w:pPr>
        <w:pStyle w:val="2"/>
        <w:spacing w:line="251" w:lineRule="auto"/>
      </w:pPr>
    </w:p>
    <w:p w14:paraId="67D306B1">
      <w:pPr>
        <w:pStyle w:val="2"/>
        <w:spacing w:line="251" w:lineRule="auto"/>
      </w:pPr>
    </w:p>
    <w:p w14:paraId="02CA457F">
      <w:pPr>
        <w:pStyle w:val="2"/>
        <w:spacing w:line="252" w:lineRule="auto"/>
      </w:pPr>
    </w:p>
    <w:p w14:paraId="1D1DF841">
      <w:pPr>
        <w:pStyle w:val="2"/>
        <w:spacing w:line="252" w:lineRule="auto"/>
      </w:pPr>
    </w:p>
    <w:p w14:paraId="57F5CA92">
      <w:pPr>
        <w:pStyle w:val="2"/>
        <w:spacing w:line="252" w:lineRule="auto"/>
      </w:pPr>
    </w:p>
    <w:p w14:paraId="111F5101">
      <w:pPr>
        <w:pStyle w:val="2"/>
        <w:spacing w:line="252" w:lineRule="auto"/>
      </w:pPr>
    </w:p>
    <w:p w14:paraId="407EA8A1">
      <w:pPr>
        <w:pStyle w:val="2"/>
        <w:spacing w:line="252" w:lineRule="auto"/>
      </w:pPr>
    </w:p>
    <w:p w14:paraId="6CF46174">
      <w:pPr>
        <w:spacing w:line="3148" w:lineRule="exact"/>
        <w:ind w:firstLine="980"/>
      </w:pPr>
      <w:r>
        <w:rPr>
          <w:position w:val="-62"/>
        </w:rPr>
        <w:drawing>
          <wp:inline distT="0" distB="0" distL="0" distR="0">
            <wp:extent cx="5402580" cy="19989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0"/>
                    <a:stretch>
                      <a:fillRect/>
                    </a:stretch>
                  </pic:blipFill>
                  <pic:spPr>
                    <a:xfrm>
                      <a:off x="0" y="0"/>
                      <a:ext cx="5402580" cy="1999487"/>
                    </a:xfrm>
                    <a:prstGeom prst="rect">
                      <a:avLst/>
                    </a:prstGeom>
                  </pic:spPr>
                </pic:pic>
              </a:graphicData>
            </a:graphic>
          </wp:inline>
        </w:drawing>
      </w:r>
    </w:p>
    <w:p w14:paraId="746B0FEE">
      <w:pPr>
        <w:pStyle w:val="2"/>
        <w:spacing w:line="251" w:lineRule="auto"/>
      </w:pPr>
    </w:p>
    <w:p w14:paraId="26991101">
      <w:pPr>
        <w:pStyle w:val="2"/>
        <w:spacing w:line="251" w:lineRule="auto"/>
      </w:pPr>
    </w:p>
    <w:p w14:paraId="6E7598AA">
      <w:pPr>
        <w:pStyle w:val="2"/>
        <w:spacing w:line="251" w:lineRule="auto"/>
      </w:pPr>
    </w:p>
    <w:p w14:paraId="2F87019B">
      <w:pPr>
        <w:pStyle w:val="2"/>
        <w:spacing w:line="251" w:lineRule="auto"/>
      </w:pPr>
    </w:p>
    <w:p w14:paraId="726446F5">
      <w:pPr>
        <w:pStyle w:val="2"/>
        <w:spacing w:line="251" w:lineRule="auto"/>
      </w:pPr>
    </w:p>
    <w:p w14:paraId="0F23D5F9">
      <w:pPr>
        <w:pStyle w:val="2"/>
        <w:spacing w:line="251" w:lineRule="auto"/>
      </w:pPr>
    </w:p>
    <w:p w14:paraId="3CFFB714">
      <w:pPr>
        <w:pStyle w:val="2"/>
        <w:spacing w:line="251" w:lineRule="auto"/>
      </w:pPr>
    </w:p>
    <w:p w14:paraId="1F352AF6">
      <w:pPr>
        <w:spacing w:before="140" w:line="353" w:lineRule="auto"/>
        <w:ind w:left="3799" w:right="957" w:hanging="1847"/>
        <w:rPr>
          <w:rFonts w:ascii="宋体" w:hAnsi="宋体" w:eastAsia="宋体" w:cs="宋体"/>
          <w:sz w:val="43"/>
          <w:szCs w:val="43"/>
        </w:rPr>
      </w:pPr>
      <w:r>
        <w:rPr>
          <w:rFonts w:ascii="宋体" w:hAnsi="宋体" w:eastAsia="宋体" w:cs="宋体"/>
          <w:spacing w:val="8"/>
          <w:sz w:val="43"/>
          <w:szCs w:val="43"/>
        </w:rPr>
        <w:t>浙江三田汽车空调压缩机有限公司</w:t>
      </w:r>
      <w:r>
        <w:rPr>
          <w:rFonts w:ascii="宋体" w:hAnsi="宋体" w:eastAsia="宋体" w:cs="宋体"/>
          <w:spacing w:val="6"/>
          <w:sz w:val="43"/>
          <w:szCs w:val="43"/>
        </w:rPr>
        <w:t xml:space="preserve"> </w:t>
      </w:r>
      <w:r>
        <w:rPr>
          <w:rFonts w:ascii="宋体" w:hAnsi="宋体" w:eastAsia="宋体" w:cs="宋体"/>
          <w:spacing w:val="-16"/>
          <w:sz w:val="43"/>
          <w:szCs w:val="43"/>
        </w:rPr>
        <w:t>二○二</w:t>
      </w:r>
      <w:r>
        <w:rPr>
          <w:rFonts w:hint="eastAsia" w:ascii="宋体" w:hAnsi="宋体" w:eastAsia="宋体" w:cs="宋体"/>
          <w:spacing w:val="-16"/>
          <w:sz w:val="43"/>
          <w:szCs w:val="43"/>
          <w:lang w:val="en-US" w:eastAsia="zh-CN"/>
        </w:rPr>
        <w:t>五</w:t>
      </w:r>
      <w:r>
        <w:rPr>
          <w:rFonts w:ascii="宋体" w:hAnsi="宋体" w:eastAsia="宋体" w:cs="宋体"/>
          <w:spacing w:val="-16"/>
          <w:sz w:val="43"/>
          <w:szCs w:val="43"/>
        </w:rPr>
        <w:t>年三月</w:t>
      </w:r>
    </w:p>
    <w:p w14:paraId="58E9FA03">
      <w:pPr>
        <w:spacing w:line="353" w:lineRule="auto"/>
        <w:rPr>
          <w:rFonts w:ascii="宋体" w:hAnsi="宋体" w:eastAsia="宋体" w:cs="宋体"/>
          <w:sz w:val="43"/>
          <w:szCs w:val="43"/>
        </w:rPr>
        <w:sectPr>
          <w:headerReference r:id="rId5" w:type="default"/>
          <w:pgSz w:w="11912" w:h="16841"/>
          <w:pgMar w:top="944" w:right="1702" w:bottom="0" w:left="720" w:header="269" w:footer="0" w:gutter="0"/>
          <w:cols w:space="720" w:num="1"/>
        </w:sectPr>
      </w:pPr>
    </w:p>
    <w:p w14:paraId="77BD4441">
      <w:pPr>
        <w:pStyle w:val="2"/>
        <w:spacing w:line="286" w:lineRule="auto"/>
      </w:pPr>
    </w:p>
    <w:p w14:paraId="0B2C7729">
      <w:pPr>
        <w:pStyle w:val="2"/>
        <w:spacing w:line="287" w:lineRule="auto"/>
      </w:pPr>
    </w:p>
    <w:p w14:paraId="3797E203">
      <w:pPr>
        <w:spacing w:before="91" w:line="219" w:lineRule="auto"/>
        <w:ind w:left="994"/>
        <w:rPr>
          <w:rFonts w:ascii="黑体" w:hAnsi="黑体" w:eastAsia="黑体" w:cs="黑体"/>
          <w:sz w:val="28"/>
          <w:szCs w:val="28"/>
        </w:rPr>
      </w:pPr>
      <w:r>
        <w:rPr>
          <w:rFonts w:ascii="黑体" w:hAnsi="黑体" w:eastAsia="黑体" w:cs="黑体"/>
          <w:spacing w:val="-2"/>
          <w:sz w:val="28"/>
          <w:szCs w:val="28"/>
        </w:rPr>
        <w:t>公司概述</w:t>
      </w:r>
    </w:p>
    <w:p w14:paraId="34C4F283">
      <w:pPr>
        <w:spacing w:before="311" w:line="354" w:lineRule="auto"/>
        <w:ind w:left="991" w:firstLine="479"/>
        <w:rPr>
          <w:rFonts w:ascii="宋体" w:hAnsi="宋体" w:eastAsia="宋体" w:cs="宋体"/>
          <w:sz w:val="24"/>
          <w:szCs w:val="24"/>
        </w:rPr>
      </w:pPr>
      <w:r>
        <w:rPr>
          <w:rFonts w:ascii="宋体" w:hAnsi="宋体" w:eastAsia="宋体" w:cs="宋体"/>
          <w:spacing w:val="3"/>
          <w:sz w:val="24"/>
          <w:szCs w:val="24"/>
        </w:rPr>
        <w:t>浙江三田汽车空调压缩机有限公司成立于</w:t>
      </w:r>
      <w:r>
        <w:rPr>
          <w:rFonts w:ascii="Times New Roman" w:hAnsi="Times New Roman" w:eastAsia="Times New Roman" w:cs="Times New Roman"/>
          <w:spacing w:val="3"/>
          <w:sz w:val="24"/>
          <w:szCs w:val="24"/>
        </w:rPr>
        <w:t>2010</w:t>
      </w:r>
      <w:r>
        <w:rPr>
          <w:rFonts w:ascii="宋体" w:hAnsi="宋体" w:eastAsia="宋体" w:cs="宋体"/>
          <w:spacing w:val="3"/>
          <w:sz w:val="24"/>
          <w:szCs w:val="24"/>
        </w:rPr>
        <w:t>年，</w:t>
      </w:r>
      <w:r>
        <w:rPr>
          <w:rFonts w:ascii="宋体" w:hAnsi="宋体" w:eastAsia="宋体" w:cs="宋体"/>
          <w:spacing w:val="2"/>
          <w:sz w:val="24"/>
          <w:szCs w:val="24"/>
        </w:rPr>
        <w:t>位于浙江省龙泉市经济开</w:t>
      </w:r>
      <w:r>
        <w:rPr>
          <w:rFonts w:ascii="宋体" w:hAnsi="宋体" w:eastAsia="宋体" w:cs="宋体"/>
          <w:sz w:val="24"/>
          <w:szCs w:val="24"/>
        </w:rPr>
        <w:t xml:space="preserve">  </w:t>
      </w:r>
      <w:r>
        <w:rPr>
          <w:rFonts w:ascii="宋体" w:hAnsi="宋体" w:eastAsia="宋体" w:cs="宋体"/>
          <w:spacing w:val="1"/>
          <w:sz w:val="24"/>
          <w:szCs w:val="24"/>
        </w:rPr>
        <w:t>发区内，是三田集团下属公司之一，是一家专业从事汽车空调压缩机研发、生产、</w:t>
      </w:r>
      <w:r>
        <w:rPr>
          <w:rFonts w:ascii="宋体" w:hAnsi="宋体" w:eastAsia="宋体" w:cs="宋体"/>
          <w:spacing w:val="15"/>
          <w:sz w:val="24"/>
          <w:szCs w:val="24"/>
        </w:rPr>
        <w:t xml:space="preserve"> </w:t>
      </w:r>
      <w:r>
        <w:rPr>
          <w:rFonts w:ascii="宋体" w:hAnsi="宋体" w:eastAsia="宋体" w:cs="宋体"/>
          <w:spacing w:val="2"/>
          <w:sz w:val="24"/>
          <w:szCs w:val="24"/>
        </w:rPr>
        <w:t>销售和技术咨询服务于一体的国家高新技术企业。现已快速发展成为【中国汽车</w:t>
      </w:r>
      <w:r>
        <w:rPr>
          <w:rFonts w:ascii="宋体" w:hAnsi="宋体" w:eastAsia="宋体" w:cs="宋体"/>
          <w:spacing w:val="6"/>
          <w:sz w:val="24"/>
          <w:szCs w:val="24"/>
        </w:rPr>
        <w:t xml:space="preserve">  （空调）零部件制造基地】的龙头企业。因经营业务不断扩大，于</w:t>
      </w:r>
      <w:r>
        <w:rPr>
          <w:rFonts w:ascii="Times New Roman" w:hAnsi="Times New Roman" w:eastAsia="Times New Roman" w:cs="Times New Roman"/>
          <w:spacing w:val="6"/>
          <w:sz w:val="24"/>
          <w:szCs w:val="24"/>
        </w:rPr>
        <w:t>2018</w:t>
      </w:r>
      <w:r>
        <w:rPr>
          <w:rFonts w:ascii="宋体" w:hAnsi="宋体" w:eastAsia="宋体" w:cs="宋体"/>
          <w:spacing w:val="6"/>
          <w:sz w:val="24"/>
          <w:szCs w:val="24"/>
        </w:rPr>
        <w:t>年</w:t>
      </w:r>
      <w:r>
        <w:rPr>
          <w:rFonts w:ascii="Times New Roman" w:hAnsi="Times New Roman" w:eastAsia="Times New Roman" w:cs="Times New Roman"/>
          <w:spacing w:val="6"/>
          <w:sz w:val="24"/>
          <w:szCs w:val="24"/>
        </w:rPr>
        <w:t>8</w:t>
      </w:r>
      <w:r>
        <w:rPr>
          <w:rFonts w:ascii="宋体" w:hAnsi="宋体" w:eastAsia="宋体" w:cs="宋体"/>
          <w:spacing w:val="5"/>
          <w:sz w:val="24"/>
          <w:szCs w:val="24"/>
        </w:rPr>
        <w:t>月进</w:t>
      </w:r>
      <w:r>
        <w:rPr>
          <w:rFonts w:ascii="宋体" w:hAnsi="宋体" w:eastAsia="宋体" w:cs="宋体"/>
          <w:sz w:val="24"/>
          <w:szCs w:val="24"/>
        </w:rPr>
        <w:t xml:space="preserve">  </w:t>
      </w:r>
      <w:r>
        <w:rPr>
          <w:rFonts w:ascii="宋体" w:hAnsi="宋体" w:eastAsia="宋体" w:cs="宋体"/>
          <w:spacing w:val="-2"/>
          <w:sz w:val="24"/>
          <w:szCs w:val="24"/>
        </w:rPr>
        <w:t>驻占地面积</w:t>
      </w:r>
      <w:r>
        <w:rPr>
          <w:rFonts w:ascii="Times New Roman" w:hAnsi="Times New Roman" w:eastAsia="Times New Roman" w:cs="Times New Roman"/>
          <w:spacing w:val="-2"/>
          <w:sz w:val="24"/>
          <w:szCs w:val="24"/>
        </w:rPr>
        <w:t>121</w:t>
      </w:r>
      <w:r>
        <w:rPr>
          <w:rFonts w:ascii="宋体" w:hAnsi="宋体" w:eastAsia="宋体" w:cs="宋体"/>
          <w:spacing w:val="-2"/>
          <w:sz w:val="24"/>
          <w:szCs w:val="24"/>
        </w:rPr>
        <w:t>亩的三田产业园，开辟新一轮的发展目标。</w:t>
      </w:r>
    </w:p>
    <w:p w14:paraId="6DD1AC1C">
      <w:pPr>
        <w:spacing w:before="32" w:line="356" w:lineRule="auto"/>
        <w:ind w:left="989" w:right="195" w:firstLine="488"/>
        <w:rPr>
          <w:rFonts w:ascii="宋体" w:hAnsi="宋体" w:eastAsia="宋体" w:cs="宋体"/>
          <w:sz w:val="24"/>
          <w:szCs w:val="24"/>
        </w:rPr>
      </w:pPr>
      <w:r>
        <w:rPr>
          <w:rFonts w:ascii="宋体" w:hAnsi="宋体" w:eastAsia="宋体" w:cs="宋体"/>
          <w:spacing w:val="3"/>
          <w:sz w:val="24"/>
          <w:szCs w:val="24"/>
        </w:rPr>
        <w:t>公司通过了</w:t>
      </w:r>
      <w:r>
        <w:rPr>
          <w:rFonts w:ascii="Times New Roman" w:hAnsi="Times New Roman" w:eastAsia="Times New Roman" w:cs="Times New Roman"/>
          <w:sz w:val="24"/>
          <w:szCs w:val="24"/>
        </w:rPr>
        <w:t>IATF</w:t>
      </w:r>
      <w:r>
        <w:rPr>
          <w:rFonts w:ascii="Times New Roman" w:hAnsi="Times New Roman" w:eastAsia="Times New Roman" w:cs="Times New Roman"/>
          <w:spacing w:val="3"/>
          <w:sz w:val="24"/>
          <w:szCs w:val="24"/>
        </w:rPr>
        <w:t>16949</w:t>
      </w:r>
      <w:r>
        <w:rPr>
          <w:rFonts w:ascii="宋体" w:hAnsi="宋体" w:eastAsia="宋体" w:cs="宋体"/>
          <w:spacing w:val="3"/>
          <w:sz w:val="24"/>
          <w:szCs w:val="24"/>
        </w:rPr>
        <w:t>国际质量体系、</w:t>
      </w:r>
      <w:r>
        <w:rPr>
          <w:rFonts w:ascii="Times New Roman" w:hAnsi="Times New Roman" w:eastAsia="Times New Roman" w:cs="Times New Roman"/>
          <w:sz w:val="24"/>
          <w:szCs w:val="24"/>
        </w:rPr>
        <w:t>ISO</w:t>
      </w:r>
      <w:r>
        <w:rPr>
          <w:rFonts w:ascii="Times New Roman" w:hAnsi="Times New Roman" w:eastAsia="Times New Roman" w:cs="Times New Roman"/>
          <w:spacing w:val="3"/>
          <w:sz w:val="24"/>
          <w:szCs w:val="24"/>
        </w:rPr>
        <w:t>14001</w:t>
      </w:r>
      <w:r>
        <w:rPr>
          <w:rFonts w:ascii="宋体" w:hAnsi="宋体" w:eastAsia="宋体" w:cs="宋体"/>
          <w:spacing w:val="3"/>
          <w:sz w:val="24"/>
          <w:szCs w:val="24"/>
        </w:rPr>
        <w:t>环境体系、</w:t>
      </w:r>
      <w:r>
        <w:rPr>
          <w:rFonts w:ascii="Times New Roman" w:hAnsi="Times New Roman" w:eastAsia="Times New Roman" w:cs="Times New Roman"/>
          <w:sz w:val="24"/>
          <w:szCs w:val="24"/>
        </w:rPr>
        <w:t>ISO</w:t>
      </w:r>
      <w:r>
        <w:rPr>
          <w:rFonts w:ascii="Times New Roman" w:hAnsi="Times New Roman" w:eastAsia="Times New Roman" w:cs="Times New Roman"/>
          <w:spacing w:val="3"/>
          <w:sz w:val="24"/>
          <w:szCs w:val="24"/>
        </w:rPr>
        <w:t>45001</w:t>
      </w:r>
      <w:r>
        <w:rPr>
          <w:rFonts w:ascii="宋体" w:hAnsi="宋体" w:eastAsia="宋体" w:cs="宋体"/>
          <w:spacing w:val="2"/>
          <w:sz w:val="24"/>
          <w:szCs w:val="24"/>
        </w:rPr>
        <w:t>职业健</w:t>
      </w:r>
      <w:r>
        <w:rPr>
          <w:rFonts w:ascii="宋体" w:hAnsi="宋体" w:eastAsia="宋体" w:cs="宋体"/>
          <w:sz w:val="24"/>
          <w:szCs w:val="24"/>
        </w:rPr>
        <w:t xml:space="preserve"> </w:t>
      </w:r>
      <w:r>
        <w:rPr>
          <w:rFonts w:ascii="宋体" w:hAnsi="宋体" w:eastAsia="宋体" w:cs="宋体"/>
          <w:spacing w:val="3"/>
          <w:sz w:val="24"/>
          <w:szCs w:val="24"/>
        </w:rPr>
        <w:t>康安全管理体系、</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/T23001-2017</w:t>
      </w:r>
      <w:r>
        <w:rPr>
          <w:rFonts w:ascii="宋体" w:hAnsi="宋体" w:eastAsia="宋体" w:cs="宋体"/>
          <w:spacing w:val="3"/>
          <w:sz w:val="24"/>
          <w:szCs w:val="24"/>
        </w:rPr>
        <w:t>两化融合管理体系、</w:t>
      </w:r>
      <w:r>
        <w:rPr>
          <w:rFonts w:ascii="Times New Roman" w:hAnsi="Times New Roman" w:eastAsia="Times New Roman" w:cs="Times New Roman"/>
          <w:sz w:val="24"/>
          <w:szCs w:val="24"/>
        </w:rPr>
        <w:t>GB</w:t>
      </w:r>
      <w:r>
        <w:rPr>
          <w:rFonts w:ascii="Times New Roman" w:hAnsi="Times New Roman" w:eastAsia="Times New Roman" w:cs="Times New Roman"/>
          <w:spacing w:val="3"/>
          <w:sz w:val="24"/>
          <w:szCs w:val="24"/>
        </w:rPr>
        <w:t>/T29490</w:t>
      </w:r>
      <w:r>
        <w:rPr>
          <w:rFonts w:ascii="宋体" w:hAnsi="宋体" w:eastAsia="宋体" w:cs="宋体"/>
          <w:spacing w:val="3"/>
          <w:sz w:val="24"/>
          <w:szCs w:val="24"/>
        </w:rPr>
        <w:t>知识产</w:t>
      </w:r>
      <w:r>
        <w:rPr>
          <w:rFonts w:ascii="宋体" w:hAnsi="宋体" w:eastAsia="宋体" w:cs="宋体"/>
          <w:spacing w:val="2"/>
          <w:sz w:val="24"/>
          <w:szCs w:val="24"/>
        </w:rPr>
        <w:t>权管理</w:t>
      </w:r>
      <w:r>
        <w:rPr>
          <w:rFonts w:ascii="宋体" w:hAnsi="宋体" w:eastAsia="宋体" w:cs="宋体"/>
          <w:sz w:val="24"/>
          <w:szCs w:val="24"/>
        </w:rPr>
        <w:t xml:space="preserve"> </w:t>
      </w:r>
      <w:r>
        <w:rPr>
          <w:rFonts w:ascii="宋体" w:hAnsi="宋体" w:eastAsia="宋体" w:cs="宋体"/>
          <w:spacing w:val="2"/>
          <w:sz w:val="24"/>
          <w:szCs w:val="24"/>
        </w:rPr>
        <w:t>体系、浙江制造品字标认证，获得</w:t>
      </w:r>
      <w:r>
        <w:rPr>
          <w:rFonts w:hint="eastAsia" w:ascii="宋体" w:hAnsi="宋体" w:eastAsia="宋体" w:cs="宋体"/>
          <w:spacing w:val="2"/>
          <w:sz w:val="24"/>
          <w:szCs w:val="24"/>
          <w:lang w:val="en-US" w:eastAsia="zh-CN"/>
        </w:rPr>
        <w:t>49</w:t>
      </w:r>
      <w:r>
        <w:rPr>
          <w:rFonts w:ascii="宋体" w:hAnsi="宋体" w:eastAsia="宋体" w:cs="宋体"/>
          <w:spacing w:val="2"/>
          <w:sz w:val="24"/>
          <w:szCs w:val="24"/>
        </w:rPr>
        <w:t>项国家专利和</w:t>
      </w:r>
      <w:r>
        <w:rPr>
          <w:rFonts w:ascii="Times New Roman" w:hAnsi="Times New Roman" w:eastAsia="Times New Roman" w:cs="Times New Roman"/>
          <w:spacing w:val="2"/>
          <w:sz w:val="24"/>
          <w:szCs w:val="24"/>
        </w:rPr>
        <w:t>10</w:t>
      </w:r>
      <w:r>
        <w:rPr>
          <w:rFonts w:ascii="宋体" w:hAnsi="宋体" w:eastAsia="宋体" w:cs="宋体"/>
          <w:spacing w:val="2"/>
          <w:sz w:val="24"/>
          <w:szCs w:val="24"/>
        </w:rPr>
        <w:t>项省级科技成果，是国家高</w:t>
      </w:r>
      <w:r>
        <w:rPr>
          <w:rFonts w:ascii="宋体" w:hAnsi="宋体" w:eastAsia="宋体" w:cs="宋体"/>
          <w:spacing w:val="18"/>
          <w:sz w:val="24"/>
          <w:szCs w:val="24"/>
        </w:rPr>
        <w:t xml:space="preserve"> </w:t>
      </w:r>
      <w:r>
        <w:rPr>
          <w:rFonts w:ascii="宋体" w:hAnsi="宋体" w:eastAsia="宋体" w:cs="宋体"/>
          <w:spacing w:val="2"/>
          <w:sz w:val="24"/>
          <w:szCs w:val="24"/>
        </w:rPr>
        <w:t>新技术企业、浙江省企业研究院、工程研究中心、工业设计中心、高新技术企业</w:t>
      </w:r>
      <w:r>
        <w:rPr>
          <w:rFonts w:ascii="宋体" w:hAnsi="宋体" w:eastAsia="宋体" w:cs="宋体"/>
          <w:spacing w:val="15"/>
          <w:sz w:val="24"/>
          <w:szCs w:val="24"/>
        </w:rPr>
        <w:t xml:space="preserve"> </w:t>
      </w:r>
      <w:r>
        <w:rPr>
          <w:rFonts w:ascii="宋体" w:hAnsi="宋体" w:eastAsia="宋体" w:cs="宋体"/>
          <w:spacing w:val="2"/>
          <w:sz w:val="24"/>
          <w:szCs w:val="24"/>
        </w:rPr>
        <w:t>研究开发中心、绿色企业、创新型示范企业、守合同重信用单位、第四批上云标</w:t>
      </w:r>
      <w:r>
        <w:rPr>
          <w:rFonts w:ascii="宋体" w:hAnsi="宋体" w:eastAsia="宋体" w:cs="宋体"/>
          <w:spacing w:val="15"/>
          <w:sz w:val="24"/>
          <w:szCs w:val="24"/>
        </w:rPr>
        <w:t xml:space="preserve"> </w:t>
      </w:r>
      <w:r>
        <w:rPr>
          <w:rFonts w:ascii="宋体" w:hAnsi="宋体" w:eastAsia="宋体" w:cs="宋体"/>
          <w:spacing w:val="1"/>
          <w:sz w:val="24"/>
          <w:szCs w:val="24"/>
        </w:rPr>
        <w:t>杆企业、第五批大数据应用示范企业、制造业与互联网融合发展试点示范企业、</w:t>
      </w:r>
      <w:r>
        <w:rPr>
          <w:rFonts w:ascii="宋体" w:hAnsi="宋体" w:eastAsia="宋体" w:cs="宋体"/>
          <w:spacing w:val="15"/>
          <w:sz w:val="24"/>
          <w:szCs w:val="24"/>
        </w:rPr>
        <w:t xml:space="preserve"> </w:t>
      </w:r>
      <w:r>
        <w:rPr>
          <w:rFonts w:ascii="宋体" w:hAnsi="宋体" w:eastAsia="宋体" w:cs="宋体"/>
          <w:spacing w:val="3"/>
          <w:sz w:val="24"/>
          <w:szCs w:val="24"/>
        </w:rPr>
        <w:t>先后荣获创业速度奖、快速发展企业、纳税大户、</w:t>
      </w:r>
      <w:r>
        <w:rPr>
          <w:rFonts w:ascii="宋体" w:hAnsi="宋体" w:eastAsia="宋体" w:cs="宋体"/>
          <w:spacing w:val="2"/>
          <w:sz w:val="24"/>
          <w:szCs w:val="24"/>
        </w:rPr>
        <w:t>功勋企业等荣誉，拥有与集团</w:t>
      </w:r>
      <w:r>
        <w:rPr>
          <w:rFonts w:ascii="宋体" w:hAnsi="宋体" w:eastAsia="宋体" w:cs="宋体"/>
          <w:sz w:val="24"/>
          <w:szCs w:val="24"/>
        </w:rPr>
        <w:t xml:space="preserve"> </w:t>
      </w:r>
      <w:r>
        <w:rPr>
          <w:rFonts w:ascii="宋体" w:hAnsi="宋体" w:eastAsia="宋体" w:cs="宋体"/>
          <w:spacing w:val="-4"/>
          <w:sz w:val="24"/>
          <w:szCs w:val="24"/>
        </w:rPr>
        <w:t>共享的中国驰名商标。</w:t>
      </w:r>
    </w:p>
    <w:p w14:paraId="0FD797C6">
      <w:pPr>
        <w:spacing w:before="34" w:line="354" w:lineRule="auto"/>
        <w:ind w:left="989" w:right="188" w:firstLine="482"/>
        <w:jc w:val="both"/>
        <w:rPr>
          <w:rFonts w:ascii="宋体" w:hAnsi="宋体" w:eastAsia="宋体" w:cs="宋体"/>
          <w:sz w:val="24"/>
          <w:szCs w:val="24"/>
        </w:rPr>
      </w:pPr>
      <w:r>
        <w:rPr>
          <w:rFonts w:ascii="宋体" w:hAnsi="宋体" w:eastAsia="宋体" w:cs="宋体"/>
          <w:spacing w:val="3"/>
          <w:sz w:val="24"/>
          <w:szCs w:val="24"/>
        </w:rPr>
        <w:t>经过近</w:t>
      </w:r>
      <w:r>
        <w:rPr>
          <w:rFonts w:ascii="Times New Roman" w:hAnsi="Times New Roman" w:eastAsia="Times New Roman" w:cs="Times New Roman"/>
          <w:spacing w:val="3"/>
          <w:sz w:val="24"/>
          <w:szCs w:val="24"/>
        </w:rPr>
        <w:t>10</w:t>
      </w:r>
      <w:r>
        <w:rPr>
          <w:rFonts w:ascii="宋体" w:hAnsi="宋体" w:eastAsia="宋体" w:cs="宋体"/>
          <w:spacing w:val="3"/>
          <w:sz w:val="24"/>
          <w:szCs w:val="24"/>
        </w:rPr>
        <w:t>年的发展，已拥有压缩机产品</w:t>
      </w:r>
      <w:r>
        <w:rPr>
          <w:rFonts w:ascii="Times New Roman" w:hAnsi="Times New Roman" w:eastAsia="Times New Roman" w:cs="Times New Roman"/>
          <w:spacing w:val="3"/>
          <w:sz w:val="24"/>
          <w:szCs w:val="24"/>
        </w:rPr>
        <w:t>50</w:t>
      </w:r>
      <w:r>
        <w:rPr>
          <w:rFonts w:ascii="宋体" w:hAnsi="宋体" w:eastAsia="宋体" w:cs="宋体"/>
          <w:spacing w:val="3"/>
          <w:sz w:val="24"/>
          <w:szCs w:val="24"/>
        </w:rPr>
        <w:t>多</w:t>
      </w:r>
      <w:r>
        <w:rPr>
          <w:rFonts w:ascii="宋体" w:hAnsi="宋体" w:eastAsia="宋体" w:cs="宋体"/>
          <w:spacing w:val="2"/>
          <w:sz w:val="24"/>
          <w:szCs w:val="24"/>
        </w:rPr>
        <w:t>个系列，</w:t>
      </w:r>
      <w:r>
        <w:rPr>
          <w:rFonts w:ascii="Times New Roman" w:hAnsi="Times New Roman" w:eastAsia="Times New Roman" w:cs="Times New Roman"/>
          <w:spacing w:val="2"/>
          <w:sz w:val="24"/>
          <w:szCs w:val="24"/>
        </w:rPr>
        <w:t>1700</w:t>
      </w:r>
      <w:r>
        <w:rPr>
          <w:rFonts w:ascii="宋体" w:hAnsi="宋体" w:eastAsia="宋体" w:cs="宋体"/>
          <w:spacing w:val="2"/>
          <w:sz w:val="24"/>
          <w:szCs w:val="24"/>
        </w:rPr>
        <w:t>多个型号，涵盖了</w:t>
      </w:r>
      <w:r>
        <w:rPr>
          <w:rFonts w:ascii="宋体" w:hAnsi="宋体" w:eastAsia="宋体" w:cs="宋体"/>
          <w:sz w:val="24"/>
          <w:szCs w:val="24"/>
        </w:rPr>
        <w:t xml:space="preserve"> </w:t>
      </w:r>
      <w:r>
        <w:rPr>
          <w:rFonts w:ascii="宋体" w:hAnsi="宋体" w:eastAsia="宋体" w:cs="宋体"/>
          <w:spacing w:val="1"/>
          <w:sz w:val="24"/>
          <w:szCs w:val="24"/>
        </w:rPr>
        <w:t>大部分轿车、工程车车型的匹配；</w:t>
      </w:r>
      <w:r>
        <w:rPr>
          <w:rFonts w:ascii="Times New Roman" w:hAnsi="Times New Roman" w:eastAsia="Times New Roman" w:cs="Times New Roman"/>
          <w:spacing w:val="1"/>
          <w:sz w:val="24"/>
          <w:szCs w:val="24"/>
        </w:rPr>
        <w:t>20</w:t>
      </w:r>
      <w:r>
        <w:rPr>
          <w:rFonts w:hint="eastAsia" w:ascii="Times New Roman" w:hAnsi="Times New Roman" w:eastAsia="宋体" w:cs="Times New Roman"/>
          <w:spacing w:val="1"/>
          <w:sz w:val="24"/>
          <w:szCs w:val="24"/>
          <w:lang w:val="en-US" w:eastAsia="zh-CN"/>
        </w:rPr>
        <w:t>24</w:t>
      </w:r>
      <w:r>
        <w:rPr>
          <w:rFonts w:ascii="宋体" w:hAnsi="宋体" w:eastAsia="宋体" w:cs="宋体"/>
          <w:spacing w:val="1"/>
          <w:sz w:val="24"/>
          <w:szCs w:val="24"/>
        </w:rPr>
        <w:t>年产值达到</w:t>
      </w:r>
      <w:r>
        <w:rPr>
          <w:rFonts w:hint="eastAsia" w:ascii="宋体" w:hAnsi="宋体" w:eastAsia="宋体" w:cs="宋体"/>
          <w:spacing w:val="1"/>
          <w:sz w:val="24"/>
          <w:szCs w:val="24"/>
          <w:lang w:val="en-US" w:eastAsia="zh-CN"/>
        </w:rPr>
        <w:t>7.3</w:t>
      </w:r>
      <w:r>
        <w:rPr>
          <w:rFonts w:ascii="宋体" w:hAnsi="宋体" w:eastAsia="宋体" w:cs="宋体"/>
          <w:spacing w:val="1"/>
          <w:sz w:val="24"/>
          <w:szCs w:val="24"/>
        </w:rPr>
        <w:t>亿元</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产品产量突破161.73万套。</w:t>
      </w:r>
      <w:r>
        <w:rPr>
          <w:rFonts w:ascii="宋体" w:hAnsi="宋体" w:eastAsia="宋体" w:cs="宋体"/>
          <w:spacing w:val="2"/>
          <w:sz w:val="24"/>
          <w:szCs w:val="24"/>
        </w:rPr>
        <w:t>产品销往国内外</w:t>
      </w:r>
      <w:r>
        <w:rPr>
          <w:rFonts w:ascii="Times New Roman" w:hAnsi="Times New Roman" w:eastAsia="Times New Roman" w:cs="Times New Roman"/>
          <w:spacing w:val="2"/>
          <w:sz w:val="24"/>
          <w:szCs w:val="24"/>
        </w:rPr>
        <w:t>30</w:t>
      </w:r>
      <w:r>
        <w:rPr>
          <w:rFonts w:ascii="宋体" w:hAnsi="宋体" w:eastAsia="宋体" w:cs="宋体"/>
          <w:spacing w:val="2"/>
          <w:sz w:val="24"/>
          <w:szCs w:val="24"/>
        </w:rPr>
        <w:t>多个国家及地区，客户包括了国内省级代理和国外著名</w:t>
      </w:r>
      <w:r>
        <w:rPr>
          <w:rFonts w:ascii="宋体" w:hAnsi="宋体" w:eastAsia="宋体" w:cs="宋体"/>
          <w:spacing w:val="16"/>
          <w:sz w:val="24"/>
          <w:szCs w:val="24"/>
        </w:rPr>
        <w:t xml:space="preserve"> </w:t>
      </w:r>
      <w:r>
        <w:rPr>
          <w:rFonts w:ascii="宋体" w:hAnsi="宋体" w:eastAsia="宋体" w:cs="宋体"/>
          <w:spacing w:val="2"/>
          <w:sz w:val="24"/>
          <w:szCs w:val="24"/>
        </w:rPr>
        <w:t>企业；其产品质量和经营服务得到广泛好评，较好地满足了客户需求，保障了企</w:t>
      </w:r>
      <w:r>
        <w:rPr>
          <w:rFonts w:ascii="宋体" w:hAnsi="宋体" w:eastAsia="宋体" w:cs="宋体"/>
          <w:spacing w:val="15"/>
          <w:sz w:val="24"/>
          <w:szCs w:val="24"/>
        </w:rPr>
        <w:t xml:space="preserve"> </w:t>
      </w:r>
      <w:r>
        <w:rPr>
          <w:rFonts w:ascii="宋体" w:hAnsi="宋体" w:eastAsia="宋体" w:cs="宋体"/>
          <w:spacing w:val="-6"/>
          <w:sz w:val="24"/>
          <w:szCs w:val="24"/>
        </w:rPr>
        <w:t>业的持续发展。</w:t>
      </w:r>
    </w:p>
    <w:p w14:paraId="30A169EA">
      <w:pPr>
        <w:spacing w:before="33" w:line="356" w:lineRule="auto"/>
        <w:ind w:left="989" w:right="15" w:firstLine="488"/>
        <w:rPr>
          <w:rFonts w:ascii="宋体" w:hAnsi="宋体" w:eastAsia="宋体" w:cs="宋体"/>
          <w:sz w:val="24"/>
          <w:szCs w:val="24"/>
        </w:rPr>
      </w:pPr>
      <w:r>
        <w:rPr>
          <w:rFonts w:ascii="宋体" w:hAnsi="宋体" w:eastAsia="宋体" w:cs="宋体"/>
          <w:spacing w:val="1"/>
          <w:sz w:val="24"/>
          <w:szCs w:val="24"/>
        </w:rPr>
        <w:t>公司始终坚持以“紧跟世界一流工艺，打造企业一流品牌紧跟世</w:t>
      </w:r>
      <w:r>
        <w:rPr>
          <w:rFonts w:ascii="宋体" w:hAnsi="宋体" w:eastAsia="宋体" w:cs="宋体"/>
          <w:sz w:val="24"/>
          <w:szCs w:val="24"/>
        </w:rPr>
        <w:t xml:space="preserve">界一流工艺， </w:t>
      </w:r>
      <w:r>
        <w:rPr>
          <w:rFonts w:ascii="宋体" w:hAnsi="宋体" w:eastAsia="宋体" w:cs="宋体"/>
          <w:spacing w:val="-1"/>
          <w:sz w:val="24"/>
          <w:szCs w:val="24"/>
        </w:rPr>
        <w:t>打造企业一流品牌” 做改善人们生活的驱动者</w:t>
      </w:r>
      <w:r>
        <w:rPr>
          <w:rFonts w:ascii="Times New Roman" w:hAnsi="Times New Roman" w:eastAsia="Times New Roman" w:cs="Times New Roman"/>
          <w:spacing w:val="-1"/>
          <w:sz w:val="24"/>
          <w:szCs w:val="24"/>
        </w:rPr>
        <w:t>”</w:t>
      </w:r>
      <w:r>
        <w:rPr>
          <w:rFonts w:ascii="宋体" w:hAnsi="宋体" w:eastAsia="宋体" w:cs="宋体"/>
          <w:spacing w:val="-1"/>
          <w:sz w:val="24"/>
          <w:szCs w:val="24"/>
        </w:rPr>
        <w:t>的企业使命，笃行</w:t>
      </w:r>
      <w:r>
        <w:rPr>
          <w:rFonts w:ascii="Times New Roman" w:hAnsi="Times New Roman" w:eastAsia="Times New Roman" w:cs="Times New Roman"/>
          <w:spacing w:val="-1"/>
          <w:sz w:val="24"/>
          <w:szCs w:val="24"/>
        </w:rPr>
        <w:t>“</w:t>
      </w:r>
      <w:r>
        <w:rPr>
          <w:rFonts w:ascii="宋体" w:hAnsi="宋体" w:eastAsia="宋体" w:cs="宋体"/>
          <w:spacing w:val="-1"/>
          <w:sz w:val="24"/>
          <w:szCs w:val="24"/>
        </w:rPr>
        <w:t>责任、自信、</w:t>
      </w:r>
      <w:r>
        <w:rPr>
          <w:rFonts w:ascii="宋体" w:hAnsi="宋体" w:eastAsia="宋体" w:cs="宋体"/>
          <w:spacing w:val="4"/>
          <w:sz w:val="24"/>
          <w:szCs w:val="24"/>
        </w:rPr>
        <w:t xml:space="preserve">  </w:t>
      </w:r>
      <w:r>
        <w:rPr>
          <w:rFonts w:ascii="宋体" w:hAnsi="宋体" w:eastAsia="宋体" w:cs="宋体"/>
          <w:sz w:val="24"/>
          <w:szCs w:val="24"/>
        </w:rPr>
        <w:t>共赢</w:t>
      </w:r>
      <w:r>
        <w:rPr>
          <w:rFonts w:ascii="Times New Roman" w:hAnsi="Times New Roman" w:eastAsia="Times New Roman" w:cs="Times New Roman"/>
          <w:sz w:val="24"/>
          <w:szCs w:val="24"/>
        </w:rPr>
        <w:t>”</w:t>
      </w:r>
      <w:r>
        <w:rPr>
          <w:rFonts w:ascii="宋体" w:hAnsi="宋体" w:eastAsia="宋体" w:cs="宋体"/>
          <w:sz w:val="24"/>
          <w:szCs w:val="24"/>
        </w:rPr>
        <w:t>的核心价值观，灌输</w:t>
      </w:r>
      <w:r>
        <w:rPr>
          <w:rFonts w:ascii="Times New Roman" w:hAnsi="Times New Roman" w:eastAsia="Times New Roman" w:cs="Times New Roman"/>
          <w:sz w:val="24"/>
          <w:szCs w:val="24"/>
        </w:rPr>
        <w:t>“</w:t>
      </w:r>
      <w:r>
        <w:rPr>
          <w:rFonts w:ascii="宋体" w:hAnsi="宋体" w:eastAsia="宋体" w:cs="宋体"/>
          <w:sz w:val="24"/>
          <w:szCs w:val="24"/>
        </w:rPr>
        <w:t>专业、专注、责任、感恩</w:t>
      </w:r>
      <w:r>
        <w:rPr>
          <w:rFonts w:ascii="Times New Roman" w:hAnsi="Times New Roman" w:eastAsia="Times New Roman" w:cs="Times New Roman"/>
          <w:sz w:val="24"/>
          <w:szCs w:val="24"/>
        </w:rPr>
        <w:t>”</w:t>
      </w:r>
      <w:r>
        <w:rPr>
          <w:rFonts w:ascii="宋体" w:hAnsi="宋体" w:eastAsia="宋体" w:cs="宋体"/>
          <w:sz w:val="24"/>
          <w:szCs w:val="24"/>
        </w:rPr>
        <w:t>的企业精神，大力引进高级</w:t>
      </w:r>
      <w:r>
        <w:rPr>
          <w:rFonts w:ascii="宋体" w:hAnsi="宋体" w:eastAsia="宋体" w:cs="宋体"/>
          <w:spacing w:val="9"/>
          <w:sz w:val="24"/>
          <w:szCs w:val="24"/>
        </w:rPr>
        <w:t xml:space="preserve">  </w:t>
      </w:r>
      <w:r>
        <w:rPr>
          <w:rFonts w:ascii="宋体" w:hAnsi="宋体" w:eastAsia="宋体" w:cs="宋体"/>
          <w:spacing w:val="2"/>
          <w:sz w:val="24"/>
          <w:szCs w:val="24"/>
        </w:rPr>
        <w:t>管理人才和技术专才，倾力构筑技术团队，始终把技术创新和为汽车制造厂提供</w:t>
      </w:r>
      <w:r>
        <w:rPr>
          <w:rFonts w:ascii="宋体" w:hAnsi="宋体" w:eastAsia="宋体" w:cs="宋体"/>
          <w:spacing w:val="7"/>
          <w:sz w:val="24"/>
          <w:szCs w:val="24"/>
        </w:rPr>
        <w:t xml:space="preserve">  </w:t>
      </w:r>
      <w:r>
        <w:rPr>
          <w:rFonts w:ascii="宋体" w:hAnsi="宋体" w:eastAsia="宋体" w:cs="宋体"/>
          <w:spacing w:val="2"/>
          <w:sz w:val="24"/>
          <w:szCs w:val="24"/>
        </w:rPr>
        <w:t>技术匹配方案作为公司的立身之本，并以创新结构、提高性能、强化品质、降低</w:t>
      </w:r>
      <w:r>
        <w:rPr>
          <w:rFonts w:ascii="宋体" w:hAnsi="宋体" w:eastAsia="宋体" w:cs="宋体"/>
          <w:spacing w:val="7"/>
          <w:sz w:val="24"/>
          <w:szCs w:val="24"/>
        </w:rPr>
        <w:t xml:space="preserve">  </w:t>
      </w:r>
      <w:r>
        <w:rPr>
          <w:rFonts w:ascii="宋体" w:hAnsi="宋体" w:eastAsia="宋体" w:cs="宋体"/>
          <w:spacing w:val="2"/>
          <w:sz w:val="24"/>
          <w:szCs w:val="24"/>
        </w:rPr>
        <w:t>成本为目标，不断进行产品技术方案的改进和创新，产品制程流畅，工艺布局合</w:t>
      </w:r>
      <w:r>
        <w:rPr>
          <w:rFonts w:ascii="宋体" w:hAnsi="宋体" w:eastAsia="宋体" w:cs="宋体"/>
          <w:spacing w:val="7"/>
          <w:sz w:val="24"/>
          <w:szCs w:val="24"/>
        </w:rPr>
        <w:t xml:space="preserve">  </w:t>
      </w:r>
      <w:r>
        <w:rPr>
          <w:rFonts w:ascii="宋体" w:hAnsi="宋体" w:eastAsia="宋体" w:cs="宋体"/>
          <w:spacing w:val="2"/>
          <w:sz w:val="24"/>
          <w:szCs w:val="24"/>
        </w:rPr>
        <w:t>理，生产组织科学。同时，大力积极实施以智能工厂为核心的技术改造，提升了</w:t>
      </w:r>
      <w:r>
        <w:rPr>
          <w:rFonts w:ascii="宋体" w:hAnsi="宋体" w:eastAsia="宋体" w:cs="宋体"/>
          <w:spacing w:val="7"/>
          <w:sz w:val="24"/>
          <w:szCs w:val="24"/>
        </w:rPr>
        <w:t xml:space="preserve">  </w:t>
      </w:r>
      <w:r>
        <w:rPr>
          <w:rFonts w:ascii="宋体" w:hAnsi="宋体" w:eastAsia="宋体" w:cs="宋体"/>
          <w:spacing w:val="-1"/>
          <w:sz w:val="24"/>
          <w:szCs w:val="24"/>
        </w:rPr>
        <w:t>企业整体的装备和制造质量。</w:t>
      </w:r>
    </w:p>
    <w:p w14:paraId="6A204510">
      <w:pPr>
        <w:spacing w:line="356" w:lineRule="auto"/>
        <w:rPr>
          <w:rFonts w:ascii="宋体" w:hAnsi="宋体" w:eastAsia="宋体" w:cs="宋体"/>
          <w:sz w:val="24"/>
          <w:szCs w:val="24"/>
        </w:rPr>
        <w:sectPr>
          <w:headerReference r:id="rId6" w:type="default"/>
          <w:footerReference r:id="rId7" w:type="default"/>
          <w:pgSz w:w="11912" w:h="16841"/>
          <w:pgMar w:top="1074" w:right="1506" w:bottom="1360" w:left="720" w:header="399" w:footer="1199" w:gutter="0"/>
          <w:cols w:space="720" w:num="1"/>
        </w:sectPr>
      </w:pPr>
    </w:p>
    <w:p w14:paraId="7D0AD7B8">
      <w:pPr>
        <w:pStyle w:val="2"/>
        <w:spacing w:line="287" w:lineRule="auto"/>
      </w:pPr>
    </w:p>
    <w:p w14:paraId="0C71B597">
      <w:pPr>
        <w:pStyle w:val="2"/>
        <w:spacing w:line="287" w:lineRule="auto"/>
      </w:pPr>
    </w:p>
    <w:p w14:paraId="5FB6CC2B">
      <w:pPr>
        <w:spacing w:before="91" w:line="220" w:lineRule="auto"/>
        <w:ind w:left="994"/>
        <w:rPr>
          <w:rFonts w:ascii="黑体" w:hAnsi="黑体" w:eastAsia="黑体" w:cs="黑体"/>
          <w:sz w:val="28"/>
          <w:szCs w:val="28"/>
        </w:rPr>
      </w:pPr>
      <w:r>
        <w:rPr>
          <w:rFonts w:ascii="黑体" w:hAnsi="黑体" w:eastAsia="黑体" w:cs="黑体"/>
          <w:spacing w:val="-2"/>
          <w:sz w:val="28"/>
          <w:szCs w:val="28"/>
        </w:rPr>
        <w:t>公司战略</w:t>
      </w:r>
    </w:p>
    <w:p w14:paraId="0D0FA46D">
      <w:pPr>
        <w:spacing w:before="205" w:line="219" w:lineRule="auto"/>
        <w:ind w:left="1477"/>
        <w:rPr>
          <w:rFonts w:ascii="宋体" w:hAnsi="宋体" w:eastAsia="宋体" w:cs="宋体"/>
          <w:sz w:val="24"/>
          <w:szCs w:val="24"/>
        </w:rPr>
      </w:pPr>
      <w:r>
        <w:rPr>
          <w:rFonts w:ascii="宋体" w:hAnsi="宋体" w:eastAsia="宋体" w:cs="宋体"/>
          <w:spacing w:val="-4"/>
          <w:sz w:val="24"/>
          <w:szCs w:val="24"/>
        </w:rPr>
        <w:t>公司的长短期战略规划有以下几个方向：</w:t>
      </w:r>
    </w:p>
    <w:p w14:paraId="57F0A83A">
      <w:pPr>
        <w:spacing w:before="180" w:line="290" w:lineRule="auto"/>
        <w:ind w:left="991" w:right="12" w:firstLine="48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）加速产品结构调整，大力发展高性能、高强度、高附加值产品。紧靠</w:t>
      </w:r>
      <w:r>
        <w:rPr>
          <w:rFonts w:ascii="宋体" w:hAnsi="宋体" w:eastAsia="宋体" w:cs="宋体"/>
          <w:spacing w:val="4"/>
          <w:sz w:val="24"/>
          <w:szCs w:val="24"/>
        </w:rPr>
        <w:t xml:space="preserve"> </w:t>
      </w:r>
      <w:r>
        <w:rPr>
          <w:rFonts w:ascii="宋体" w:hAnsi="宋体" w:eastAsia="宋体" w:cs="宋体"/>
          <w:spacing w:val="-3"/>
          <w:sz w:val="24"/>
          <w:szCs w:val="24"/>
        </w:rPr>
        <w:t>新兴产业，不断提高产品技术含量和水准。</w:t>
      </w:r>
    </w:p>
    <w:p w14:paraId="791383F3">
      <w:pPr>
        <w:spacing w:before="179" w:line="290" w:lineRule="auto"/>
        <w:ind w:left="990" w:right="10" w:firstLine="48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 xml:space="preserve">）立足内销市场，积极开拓外销市场。内销与外销共同协作发展，实现 </w:t>
      </w:r>
      <w:r>
        <w:rPr>
          <w:rFonts w:ascii="宋体" w:hAnsi="宋体" w:eastAsia="宋体" w:cs="宋体"/>
          <w:spacing w:val="-2"/>
          <w:sz w:val="24"/>
          <w:szCs w:val="24"/>
        </w:rPr>
        <w:t>产品差异化战略，区别化经营模式，立足多元化目标市场。</w:t>
      </w:r>
    </w:p>
    <w:p w14:paraId="75054098">
      <w:pPr>
        <w:spacing w:before="181" w:line="317" w:lineRule="auto"/>
        <w:ind w:left="996" w:right="44"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）“互联网</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”对汽车零配件产业的变革已经开始，公司将加大自动化、 </w:t>
      </w:r>
      <w:r>
        <w:rPr>
          <w:rFonts w:ascii="宋体" w:hAnsi="宋体" w:eastAsia="宋体" w:cs="宋体"/>
          <w:spacing w:val="4"/>
          <w:sz w:val="24"/>
          <w:szCs w:val="24"/>
        </w:rPr>
        <w:t>智能化设备投入，推行精益生产，实现传统模式向互联网</w:t>
      </w:r>
      <w:r>
        <w:rPr>
          <w:rFonts w:ascii="Times New Roman" w:hAnsi="Times New Roman" w:eastAsia="Times New Roman" w:cs="Times New Roman"/>
          <w:spacing w:val="4"/>
          <w:sz w:val="24"/>
          <w:szCs w:val="24"/>
        </w:rPr>
        <w:t>+</w:t>
      </w:r>
      <w:r>
        <w:rPr>
          <w:rFonts w:ascii="宋体" w:hAnsi="宋体" w:eastAsia="宋体" w:cs="宋体"/>
          <w:spacing w:val="4"/>
          <w:sz w:val="24"/>
          <w:szCs w:val="24"/>
        </w:rPr>
        <w:t>先进制造业的转变，</w:t>
      </w:r>
      <w:r>
        <w:rPr>
          <w:rFonts w:ascii="宋体" w:hAnsi="宋体" w:eastAsia="宋体" w:cs="宋体"/>
          <w:spacing w:val="16"/>
          <w:sz w:val="24"/>
          <w:szCs w:val="24"/>
        </w:rPr>
        <w:t xml:space="preserve"> </w:t>
      </w:r>
      <w:r>
        <w:rPr>
          <w:rFonts w:ascii="宋体" w:hAnsi="宋体" w:eastAsia="宋体" w:cs="宋体"/>
          <w:spacing w:val="-3"/>
          <w:sz w:val="24"/>
          <w:szCs w:val="24"/>
        </w:rPr>
        <w:t>自动化水平达到</w:t>
      </w:r>
      <w:r>
        <w:rPr>
          <w:rFonts w:ascii="Times New Roman" w:hAnsi="Times New Roman" w:eastAsia="Times New Roman" w:cs="Times New Roman"/>
          <w:spacing w:val="-3"/>
          <w:sz w:val="24"/>
          <w:szCs w:val="24"/>
        </w:rPr>
        <w:t>95%</w:t>
      </w:r>
      <w:r>
        <w:rPr>
          <w:rFonts w:ascii="宋体" w:hAnsi="宋体" w:eastAsia="宋体" w:cs="宋体"/>
          <w:spacing w:val="-3"/>
          <w:sz w:val="24"/>
          <w:szCs w:val="24"/>
        </w:rPr>
        <w:t>以上。</w:t>
      </w:r>
    </w:p>
    <w:p w14:paraId="53EB0B5C">
      <w:pPr>
        <w:spacing w:before="163" w:line="313" w:lineRule="auto"/>
        <w:ind w:left="985" w:firstLine="491"/>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4</w:t>
      </w:r>
      <w:r>
        <w:rPr>
          <w:rFonts w:ascii="宋体" w:hAnsi="宋体" w:eastAsia="宋体" w:cs="宋体"/>
          <w:spacing w:val="14"/>
          <w:sz w:val="24"/>
          <w:szCs w:val="24"/>
        </w:rPr>
        <w:t>）加强质量管理，积极主动贯标，提升贯标水平，从</w:t>
      </w:r>
      <w:r>
        <w:rPr>
          <w:rFonts w:ascii="Times New Roman" w:hAnsi="Times New Roman" w:eastAsia="Times New Roman" w:cs="Times New Roman"/>
          <w:sz w:val="24"/>
          <w:szCs w:val="24"/>
        </w:rPr>
        <w:t>AQL</w:t>
      </w:r>
      <w:r>
        <w:rPr>
          <w:rFonts w:ascii="宋体" w:hAnsi="宋体" w:eastAsia="宋体" w:cs="宋体"/>
          <w:spacing w:val="14"/>
          <w:sz w:val="24"/>
          <w:szCs w:val="24"/>
        </w:rPr>
        <w:t>质量标准向</w:t>
      </w:r>
      <w:r>
        <w:rPr>
          <w:rFonts w:ascii="宋体" w:hAnsi="宋体" w:eastAsia="宋体" w:cs="宋体"/>
          <w:spacing w:val="16"/>
          <w:sz w:val="24"/>
          <w:szCs w:val="24"/>
        </w:rPr>
        <w:t xml:space="preserve"> </w:t>
      </w:r>
      <w:r>
        <w:rPr>
          <w:rFonts w:ascii="Times New Roman" w:hAnsi="Times New Roman" w:eastAsia="Times New Roman" w:cs="Times New Roman"/>
          <w:sz w:val="24"/>
          <w:szCs w:val="24"/>
        </w:rPr>
        <w:t>PPM</w:t>
      </w:r>
      <w:r>
        <w:rPr>
          <w:rFonts w:ascii="宋体" w:hAnsi="宋体" w:eastAsia="宋体" w:cs="宋体"/>
          <w:spacing w:val="4"/>
          <w:sz w:val="24"/>
          <w:szCs w:val="24"/>
        </w:rPr>
        <w:t>世界水平转，加强生产过程控制、</w:t>
      </w:r>
      <w:r>
        <w:rPr>
          <w:rFonts w:ascii="Times New Roman" w:hAnsi="Times New Roman" w:eastAsia="Times New Roman" w:cs="Times New Roman"/>
          <w:spacing w:val="4"/>
          <w:sz w:val="24"/>
          <w:szCs w:val="24"/>
        </w:rPr>
        <w:t>5S</w:t>
      </w:r>
      <w:r>
        <w:rPr>
          <w:rFonts w:ascii="宋体" w:hAnsi="宋体" w:eastAsia="宋体" w:cs="宋体"/>
          <w:spacing w:val="4"/>
          <w:sz w:val="24"/>
          <w:szCs w:val="24"/>
        </w:rPr>
        <w:t>现场管理、生产在线检测及</w:t>
      </w:r>
      <w:r>
        <w:rPr>
          <w:rFonts w:ascii="Times New Roman" w:hAnsi="Times New Roman" w:eastAsia="Times New Roman" w:cs="Times New Roman"/>
          <w:sz w:val="24"/>
          <w:szCs w:val="24"/>
        </w:rPr>
        <w:t>SPC</w:t>
      </w:r>
      <w:r>
        <w:rPr>
          <w:rFonts w:ascii="宋体" w:hAnsi="宋体" w:eastAsia="宋体" w:cs="宋体"/>
          <w:spacing w:val="4"/>
          <w:sz w:val="24"/>
          <w:szCs w:val="24"/>
        </w:rPr>
        <w:t>质量监</w:t>
      </w:r>
      <w:r>
        <w:rPr>
          <w:rFonts w:ascii="宋体" w:hAnsi="宋体" w:eastAsia="宋体" w:cs="宋体"/>
          <w:spacing w:val="17"/>
          <w:sz w:val="24"/>
          <w:szCs w:val="24"/>
        </w:rPr>
        <w:t xml:space="preserve"> </w:t>
      </w:r>
      <w:r>
        <w:rPr>
          <w:rFonts w:ascii="宋体" w:hAnsi="宋体" w:eastAsia="宋体" w:cs="宋体"/>
          <w:spacing w:val="-3"/>
          <w:sz w:val="24"/>
          <w:szCs w:val="24"/>
        </w:rPr>
        <w:t>控，进一步提升质量水平。</w:t>
      </w:r>
    </w:p>
    <w:p w14:paraId="5B7EB3FD">
      <w:pPr>
        <w:spacing w:before="183" w:line="288" w:lineRule="auto"/>
        <w:ind w:left="990" w:right="55" w:firstLine="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）国际贸易竞争激烈，做好知识产权保护。知识产权是企业</w:t>
      </w:r>
      <w:r>
        <w:rPr>
          <w:rFonts w:ascii="宋体" w:hAnsi="宋体" w:eastAsia="宋体" w:cs="宋体"/>
          <w:spacing w:val="4"/>
          <w:sz w:val="24"/>
          <w:szCs w:val="24"/>
        </w:rPr>
        <w:t>的软实力，</w:t>
      </w:r>
      <w:r>
        <w:rPr>
          <w:rFonts w:ascii="宋体" w:hAnsi="宋体" w:eastAsia="宋体" w:cs="宋体"/>
          <w:sz w:val="24"/>
          <w:szCs w:val="24"/>
        </w:rPr>
        <w:t xml:space="preserve"> </w:t>
      </w:r>
      <w:r>
        <w:rPr>
          <w:rFonts w:ascii="宋体" w:hAnsi="宋体" w:eastAsia="宋体" w:cs="宋体"/>
          <w:spacing w:val="-2"/>
          <w:sz w:val="24"/>
          <w:szCs w:val="24"/>
        </w:rPr>
        <w:t>做好知识产权储备迎接国际贸易中带来机遇与挑战。</w:t>
      </w:r>
    </w:p>
    <w:p w14:paraId="7DE83973">
      <w:pPr>
        <w:spacing w:before="184" w:line="289" w:lineRule="auto"/>
        <w:ind w:left="994" w:right="30" w:firstLine="48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）从战略高度认识人力资源的重要性，</w:t>
      </w:r>
      <w:r>
        <w:rPr>
          <w:rFonts w:ascii="宋体" w:hAnsi="宋体" w:eastAsia="宋体" w:cs="宋体"/>
          <w:spacing w:val="5"/>
          <w:sz w:val="24"/>
          <w:szCs w:val="24"/>
        </w:rPr>
        <w:t>重视人才的培育和开发，打造出</w:t>
      </w:r>
      <w:r>
        <w:rPr>
          <w:rFonts w:ascii="宋体" w:hAnsi="宋体" w:eastAsia="宋体" w:cs="宋体"/>
          <w:sz w:val="24"/>
          <w:szCs w:val="24"/>
        </w:rPr>
        <w:t xml:space="preserve"> </w:t>
      </w:r>
      <w:r>
        <w:rPr>
          <w:rFonts w:ascii="宋体" w:hAnsi="宋体" w:eastAsia="宋体" w:cs="宋体"/>
          <w:spacing w:val="-3"/>
          <w:sz w:val="24"/>
          <w:szCs w:val="24"/>
        </w:rPr>
        <w:t>一批具有核心竞争力的一流的企业核心团队。</w:t>
      </w:r>
    </w:p>
    <w:p w14:paraId="26372F35">
      <w:pPr>
        <w:spacing w:before="184" w:line="288" w:lineRule="auto"/>
        <w:ind w:left="990" w:right="15" w:firstLine="48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）和谐发展，立足环保，以人为本，安全生产。大力推动环保节能与安</w:t>
      </w:r>
      <w:r>
        <w:rPr>
          <w:rFonts w:ascii="宋体" w:hAnsi="宋体" w:eastAsia="宋体" w:cs="宋体"/>
          <w:spacing w:val="1"/>
          <w:sz w:val="24"/>
          <w:szCs w:val="24"/>
        </w:rPr>
        <w:t xml:space="preserve"> </w:t>
      </w:r>
      <w:r>
        <w:rPr>
          <w:rFonts w:ascii="宋体" w:hAnsi="宋体" w:eastAsia="宋体" w:cs="宋体"/>
          <w:spacing w:val="-2"/>
          <w:sz w:val="24"/>
          <w:szCs w:val="24"/>
        </w:rPr>
        <w:t>全生产新技术的发展。人与自然和谐相处，建立科学发展观。</w:t>
      </w:r>
    </w:p>
    <w:p w14:paraId="7C7517E1">
      <w:pPr>
        <w:spacing w:before="183" w:line="289" w:lineRule="auto"/>
        <w:ind w:left="990" w:right="55" w:firstLine="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）注重品牌建设，打造良好企业形象。勇于承担应有的社会</w:t>
      </w:r>
      <w:r>
        <w:rPr>
          <w:rFonts w:ascii="宋体" w:hAnsi="宋体" w:eastAsia="宋体" w:cs="宋体"/>
          <w:spacing w:val="4"/>
          <w:sz w:val="24"/>
          <w:szCs w:val="24"/>
        </w:rPr>
        <w:t>责任义务，</w:t>
      </w:r>
      <w:r>
        <w:rPr>
          <w:rFonts w:ascii="宋体" w:hAnsi="宋体" w:eastAsia="宋体" w:cs="宋体"/>
          <w:sz w:val="24"/>
          <w:szCs w:val="24"/>
        </w:rPr>
        <w:t xml:space="preserve"> </w:t>
      </w:r>
      <w:r>
        <w:rPr>
          <w:rFonts w:ascii="宋体" w:hAnsi="宋体" w:eastAsia="宋体" w:cs="宋体"/>
          <w:spacing w:val="-6"/>
          <w:sz w:val="24"/>
          <w:szCs w:val="24"/>
        </w:rPr>
        <w:t>树立行业标杆。</w:t>
      </w:r>
    </w:p>
    <w:p w14:paraId="68B86BFB">
      <w:pPr>
        <w:spacing w:before="188" w:line="219" w:lineRule="auto"/>
        <w:ind w:left="994"/>
        <w:rPr>
          <w:rFonts w:ascii="黑体" w:hAnsi="黑体" w:eastAsia="黑体" w:cs="黑体"/>
          <w:sz w:val="28"/>
          <w:szCs w:val="28"/>
        </w:rPr>
      </w:pPr>
      <w:r>
        <w:rPr>
          <w:rFonts w:ascii="黑体" w:hAnsi="黑体" w:eastAsia="黑体" w:cs="黑体"/>
          <w:spacing w:val="-2"/>
          <w:sz w:val="28"/>
          <w:szCs w:val="28"/>
        </w:rPr>
        <w:t>利益相关方沟通和参与</w:t>
      </w:r>
    </w:p>
    <w:p w14:paraId="5CF5664D">
      <w:pPr>
        <w:spacing w:before="209" w:line="352" w:lineRule="auto"/>
        <w:ind w:left="990" w:right="1" w:firstLine="487"/>
        <w:rPr>
          <w:rFonts w:ascii="宋体" w:hAnsi="宋体" w:eastAsia="宋体" w:cs="宋体"/>
          <w:sz w:val="24"/>
          <w:szCs w:val="24"/>
        </w:rPr>
      </w:pPr>
      <w:r>
        <w:rPr>
          <w:rFonts w:ascii="宋体" w:hAnsi="宋体" w:eastAsia="宋体" w:cs="宋体"/>
          <w:spacing w:val="2"/>
          <w:sz w:val="24"/>
          <w:szCs w:val="24"/>
        </w:rPr>
        <w:t>公司将信息披露工作作为公司在资本市场树立企业形象以及承担社会责任的</w:t>
      </w:r>
      <w:r>
        <w:rPr>
          <w:rFonts w:ascii="宋体" w:hAnsi="宋体" w:eastAsia="宋体" w:cs="宋体"/>
          <w:spacing w:val="14"/>
          <w:sz w:val="24"/>
          <w:szCs w:val="24"/>
        </w:rPr>
        <w:t xml:space="preserve"> </w:t>
      </w:r>
      <w:r>
        <w:rPr>
          <w:rFonts w:ascii="宋体" w:hAnsi="宋体" w:eastAsia="宋体" w:cs="宋体"/>
          <w:spacing w:val="4"/>
          <w:sz w:val="24"/>
          <w:szCs w:val="24"/>
        </w:rPr>
        <w:t>重要工作，致力满足</w:t>
      </w:r>
      <w:r>
        <w:rPr>
          <w:rFonts w:ascii="Times New Roman" w:hAnsi="Times New Roman" w:eastAsia="Times New Roman" w:cs="Times New Roman"/>
          <w:spacing w:val="4"/>
          <w:sz w:val="24"/>
          <w:szCs w:val="24"/>
        </w:rPr>
        <w:t>“</w:t>
      </w:r>
      <w:r>
        <w:rPr>
          <w:rFonts w:ascii="宋体" w:hAnsi="宋体" w:eastAsia="宋体" w:cs="宋体"/>
          <w:spacing w:val="4"/>
          <w:sz w:val="24"/>
          <w:szCs w:val="24"/>
        </w:rPr>
        <w:t>真实、准确、及时、</w:t>
      </w:r>
      <w:r>
        <w:rPr>
          <w:rFonts w:ascii="宋体" w:hAnsi="宋体" w:eastAsia="宋体" w:cs="宋体"/>
          <w:spacing w:val="3"/>
          <w:sz w:val="24"/>
          <w:szCs w:val="24"/>
        </w:rPr>
        <w:t>完整</w:t>
      </w:r>
      <w:r>
        <w:rPr>
          <w:rFonts w:ascii="Times New Roman" w:hAnsi="Times New Roman" w:eastAsia="Times New Roman" w:cs="Times New Roman"/>
          <w:spacing w:val="3"/>
          <w:sz w:val="24"/>
          <w:szCs w:val="24"/>
        </w:rPr>
        <w:t>”</w:t>
      </w:r>
      <w:r>
        <w:rPr>
          <w:rFonts w:ascii="宋体" w:hAnsi="宋体" w:eastAsia="宋体" w:cs="宋体"/>
          <w:spacing w:val="3"/>
          <w:sz w:val="24"/>
          <w:szCs w:val="24"/>
        </w:rPr>
        <w:t>的披露要求并不断精益求精，严</w:t>
      </w:r>
      <w:r>
        <w:rPr>
          <w:rFonts w:ascii="宋体" w:hAnsi="宋体" w:eastAsia="宋体" w:cs="宋体"/>
          <w:sz w:val="24"/>
          <w:szCs w:val="24"/>
        </w:rPr>
        <w:t xml:space="preserve"> </w:t>
      </w:r>
      <w:r>
        <w:rPr>
          <w:rFonts w:ascii="宋体" w:hAnsi="宋体" w:eastAsia="宋体" w:cs="宋体"/>
          <w:spacing w:val="1"/>
          <w:sz w:val="24"/>
          <w:szCs w:val="24"/>
        </w:rPr>
        <w:t>格按照制度执行信息披露工作，并不断完善相关制度。确保披露文件格式规范、</w:t>
      </w:r>
      <w:r>
        <w:rPr>
          <w:rFonts w:ascii="宋体" w:hAnsi="宋体" w:eastAsia="宋体" w:cs="宋体"/>
          <w:spacing w:val="14"/>
          <w:sz w:val="24"/>
          <w:szCs w:val="24"/>
        </w:rPr>
        <w:t xml:space="preserve"> </w:t>
      </w:r>
      <w:r>
        <w:rPr>
          <w:rFonts w:ascii="宋体" w:hAnsi="宋体" w:eastAsia="宋体" w:cs="宋体"/>
          <w:spacing w:val="-3"/>
          <w:sz w:val="24"/>
          <w:szCs w:val="24"/>
        </w:rPr>
        <w:t>信息完整、表述清晰，披露内容真实、准确。</w:t>
      </w:r>
    </w:p>
    <w:p w14:paraId="54450916">
      <w:pPr>
        <w:spacing w:before="36" w:line="350" w:lineRule="auto"/>
        <w:ind w:left="990" w:right="14" w:firstLine="487"/>
        <w:rPr>
          <w:rFonts w:ascii="宋体" w:hAnsi="宋体" w:eastAsia="宋体" w:cs="宋体"/>
          <w:sz w:val="24"/>
          <w:szCs w:val="24"/>
        </w:rPr>
      </w:pPr>
      <w:r>
        <w:rPr>
          <w:rFonts w:ascii="宋体" w:hAnsi="宋体" w:eastAsia="宋体" w:cs="宋体"/>
          <w:spacing w:val="2"/>
          <w:sz w:val="24"/>
          <w:szCs w:val="24"/>
        </w:rPr>
        <w:t>公司非常重视投资者权益保护，始终致力于维护与股东的良好关系，除通过</w:t>
      </w:r>
      <w:r>
        <w:rPr>
          <w:rFonts w:ascii="宋体" w:hAnsi="宋体" w:eastAsia="宋体" w:cs="宋体"/>
          <w:spacing w:val="14"/>
          <w:sz w:val="24"/>
          <w:szCs w:val="24"/>
        </w:rPr>
        <w:t xml:space="preserve"> </w:t>
      </w:r>
      <w:r>
        <w:rPr>
          <w:rFonts w:ascii="宋体" w:hAnsi="宋体" w:eastAsia="宋体" w:cs="宋体"/>
          <w:spacing w:val="2"/>
          <w:sz w:val="24"/>
          <w:szCs w:val="24"/>
        </w:rPr>
        <w:t>定期报告汇报公司重要战略及信息外，还定期收集媒体和社会各界对于公司的关</w:t>
      </w:r>
      <w:r>
        <w:rPr>
          <w:rFonts w:ascii="宋体" w:hAnsi="宋体" w:eastAsia="宋体" w:cs="宋体"/>
          <w:spacing w:val="14"/>
          <w:sz w:val="24"/>
          <w:szCs w:val="24"/>
        </w:rPr>
        <w:t xml:space="preserve"> </w:t>
      </w:r>
      <w:r>
        <w:rPr>
          <w:rFonts w:ascii="宋体" w:hAnsi="宋体" w:eastAsia="宋体" w:cs="宋体"/>
          <w:spacing w:val="-1"/>
          <w:sz w:val="24"/>
          <w:szCs w:val="24"/>
        </w:rPr>
        <w:t>注事项及各类建议，并向管理层反馈相关信息，不断完善投</w:t>
      </w:r>
      <w:r>
        <w:rPr>
          <w:rFonts w:ascii="宋体" w:hAnsi="宋体" w:eastAsia="宋体" w:cs="宋体"/>
          <w:spacing w:val="-2"/>
          <w:sz w:val="24"/>
          <w:szCs w:val="24"/>
        </w:rPr>
        <w:t>资者关系管理工作。</w:t>
      </w:r>
    </w:p>
    <w:p w14:paraId="1F0A8A50">
      <w:pPr>
        <w:spacing w:line="350" w:lineRule="auto"/>
        <w:rPr>
          <w:rFonts w:ascii="宋体" w:hAnsi="宋体" w:eastAsia="宋体" w:cs="宋体"/>
          <w:sz w:val="24"/>
          <w:szCs w:val="24"/>
        </w:rPr>
        <w:sectPr>
          <w:headerReference r:id="rId8" w:type="default"/>
          <w:footerReference r:id="rId9" w:type="default"/>
          <w:pgSz w:w="11912" w:h="16841"/>
          <w:pgMar w:top="1074" w:right="1697" w:bottom="1360" w:left="720" w:header="399" w:footer="1200" w:gutter="0"/>
          <w:cols w:space="720" w:num="1"/>
        </w:sectPr>
      </w:pPr>
    </w:p>
    <w:p w14:paraId="3A9FA282">
      <w:pPr>
        <w:pStyle w:val="2"/>
        <w:spacing w:line="291" w:lineRule="auto"/>
      </w:pPr>
    </w:p>
    <w:p w14:paraId="44BC6503">
      <w:pPr>
        <w:pStyle w:val="2"/>
        <w:spacing w:line="292" w:lineRule="auto"/>
      </w:pPr>
    </w:p>
    <w:p w14:paraId="6C33EBC7">
      <w:pPr>
        <w:spacing w:before="78" w:line="349" w:lineRule="auto"/>
        <w:ind w:left="993" w:firstLine="484"/>
        <w:jc w:val="both"/>
        <w:rPr>
          <w:rFonts w:ascii="宋体" w:hAnsi="宋体" w:eastAsia="宋体" w:cs="宋体"/>
          <w:sz w:val="24"/>
          <w:szCs w:val="24"/>
        </w:rPr>
      </w:pPr>
      <w:r>
        <w:rPr>
          <w:rFonts w:ascii="宋体" w:hAnsi="宋体" w:eastAsia="宋体" w:cs="宋体"/>
          <w:spacing w:val="2"/>
          <w:sz w:val="24"/>
          <w:szCs w:val="24"/>
        </w:rPr>
        <w:t>公司非常重视与员工及其他相关方的沟通，搭建开放坦诚的沟通渠道，采用</w:t>
      </w:r>
      <w:r>
        <w:rPr>
          <w:rFonts w:ascii="宋体" w:hAnsi="宋体" w:eastAsia="宋体" w:cs="宋体"/>
          <w:spacing w:val="7"/>
          <w:sz w:val="24"/>
          <w:szCs w:val="24"/>
        </w:rPr>
        <w:t xml:space="preserve">  </w:t>
      </w:r>
      <w:r>
        <w:rPr>
          <w:rFonts w:ascii="宋体" w:hAnsi="宋体" w:eastAsia="宋体" w:cs="宋体"/>
          <w:spacing w:val="2"/>
          <w:sz w:val="24"/>
          <w:szCs w:val="24"/>
        </w:rPr>
        <w:t>多种方式和活动进行互动，全方位宣传公司企业文化、发展方向和绩效目标，积</w:t>
      </w:r>
      <w:r>
        <w:rPr>
          <w:rFonts w:ascii="宋体" w:hAnsi="宋体" w:eastAsia="宋体" w:cs="宋体"/>
          <w:spacing w:val="5"/>
          <w:sz w:val="24"/>
          <w:szCs w:val="24"/>
        </w:rPr>
        <w:t xml:space="preserve">  </w:t>
      </w:r>
      <w:r>
        <w:rPr>
          <w:rFonts w:ascii="宋体" w:hAnsi="宋体" w:eastAsia="宋体" w:cs="宋体"/>
          <w:spacing w:val="1"/>
          <w:sz w:val="24"/>
          <w:szCs w:val="24"/>
        </w:rPr>
        <w:t>极听取和采纳员工及相关方的合理化建议。利益相关方期望要求和沟通回应如下：</w:t>
      </w:r>
    </w:p>
    <w:tbl>
      <w:tblPr>
        <w:tblStyle w:val="5"/>
        <w:tblW w:w="8523" w:type="dxa"/>
        <w:tblInd w:w="9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6"/>
        <w:gridCol w:w="3476"/>
        <w:gridCol w:w="3711"/>
      </w:tblGrid>
      <w:tr w14:paraId="1AED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8" w:hRule="atLeast"/>
        </w:trPr>
        <w:tc>
          <w:tcPr>
            <w:tcW w:w="1336" w:type="dxa"/>
            <w:vAlign w:val="top"/>
          </w:tcPr>
          <w:p w14:paraId="6C2605C6">
            <w:pPr>
              <w:pStyle w:val="6"/>
              <w:spacing w:before="179" w:line="218" w:lineRule="auto"/>
              <w:ind w:left="128"/>
            </w:pPr>
            <w:r>
              <w:rPr>
                <w:spacing w:val="-3"/>
              </w:rPr>
              <w:t>利益相关方</w:t>
            </w:r>
          </w:p>
        </w:tc>
        <w:tc>
          <w:tcPr>
            <w:tcW w:w="3476" w:type="dxa"/>
            <w:vAlign w:val="top"/>
          </w:tcPr>
          <w:p w14:paraId="62817A6F">
            <w:pPr>
              <w:pStyle w:val="6"/>
              <w:spacing w:before="179" w:line="219" w:lineRule="auto"/>
              <w:ind w:left="1198"/>
            </w:pPr>
            <w:r>
              <w:rPr>
                <w:spacing w:val="-3"/>
              </w:rPr>
              <w:t>期望与要求</w:t>
            </w:r>
          </w:p>
        </w:tc>
        <w:tc>
          <w:tcPr>
            <w:tcW w:w="3711" w:type="dxa"/>
            <w:vAlign w:val="top"/>
          </w:tcPr>
          <w:p w14:paraId="68276A3A">
            <w:pPr>
              <w:pStyle w:val="6"/>
              <w:spacing w:before="180" w:line="219" w:lineRule="auto"/>
              <w:ind w:left="1207"/>
            </w:pPr>
            <w:r>
              <w:rPr>
                <w:spacing w:val="-3"/>
              </w:rPr>
              <w:t>沟通回应方式</w:t>
            </w:r>
          </w:p>
        </w:tc>
      </w:tr>
      <w:tr w14:paraId="23D99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336" w:type="dxa"/>
            <w:vAlign w:val="top"/>
          </w:tcPr>
          <w:p w14:paraId="60EEC5B8">
            <w:pPr>
              <w:spacing w:line="241" w:lineRule="auto"/>
              <w:rPr>
                <w:rFonts w:ascii="Arial"/>
                <w:sz w:val="21"/>
              </w:rPr>
            </w:pPr>
          </w:p>
          <w:p w14:paraId="07B43A3B">
            <w:pPr>
              <w:pStyle w:val="6"/>
              <w:spacing w:before="72" w:line="219" w:lineRule="auto"/>
              <w:ind w:left="461"/>
            </w:pPr>
            <w:r>
              <w:rPr>
                <w:spacing w:val="-4"/>
              </w:rPr>
              <w:t>政府</w:t>
            </w:r>
          </w:p>
        </w:tc>
        <w:tc>
          <w:tcPr>
            <w:tcW w:w="3476" w:type="dxa"/>
            <w:vAlign w:val="top"/>
          </w:tcPr>
          <w:p w14:paraId="189403B9">
            <w:pPr>
              <w:pStyle w:val="6"/>
              <w:spacing w:before="173" w:line="230" w:lineRule="auto"/>
              <w:ind w:left="15" w:right="168" w:hanging="2"/>
            </w:pPr>
            <w:r>
              <w:rPr>
                <w:spacing w:val="-1"/>
              </w:rPr>
              <w:t>遵纪守法、依法纳税、支持经济发</w:t>
            </w:r>
            <w:r>
              <w:rPr>
                <w:spacing w:val="3"/>
              </w:rPr>
              <w:t xml:space="preserve"> </w:t>
            </w:r>
            <w:r>
              <w:t>展</w:t>
            </w:r>
          </w:p>
        </w:tc>
        <w:tc>
          <w:tcPr>
            <w:tcW w:w="3711" w:type="dxa"/>
            <w:vAlign w:val="top"/>
          </w:tcPr>
          <w:p w14:paraId="658AB387">
            <w:pPr>
              <w:spacing w:line="241" w:lineRule="auto"/>
              <w:rPr>
                <w:rFonts w:ascii="Arial"/>
                <w:sz w:val="21"/>
              </w:rPr>
            </w:pPr>
          </w:p>
          <w:p w14:paraId="048F1DB5">
            <w:pPr>
              <w:pStyle w:val="6"/>
              <w:spacing w:before="72" w:line="217" w:lineRule="auto"/>
              <w:ind w:left="23"/>
            </w:pPr>
            <w:r>
              <w:rPr>
                <w:spacing w:val="-2"/>
              </w:rPr>
              <w:t>合规管理、主动纳税、执行国家政策</w:t>
            </w:r>
          </w:p>
        </w:tc>
      </w:tr>
      <w:tr w14:paraId="760A3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336" w:type="dxa"/>
            <w:vAlign w:val="top"/>
          </w:tcPr>
          <w:p w14:paraId="4BFA0376">
            <w:pPr>
              <w:spacing w:line="247" w:lineRule="auto"/>
              <w:rPr>
                <w:rFonts w:ascii="Arial"/>
                <w:sz w:val="21"/>
              </w:rPr>
            </w:pPr>
          </w:p>
          <w:p w14:paraId="4F824565">
            <w:pPr>
              <w:pStyle w:val="6"/>
              <w:spacing w:before="71" w:line="221" w:lineRule="auto"/>
              <w:ind w:left="478"/>
            </w:pPr>
            <w:r>
              <w:rPr>
                <w:spacing w:val="-8"/>
              </w:rPr>
              <w:t>员工</w:t>
            </w:r>
          </w:p>
        </w:tc>
        <w:tc>
          <w:tcPr>
            <w:tcW w:w="3476" w:type="dxa"/>
            <w:vAlign w:val="top"/>
          </w:tcPr>
          <w:p w14:paraId="29F1EEED">
            <w:pPr>
              <w:pStyle w:val="6"/>
              <w:spacing w:before="179" w:line="228" w:lineRule="auto"/>
              <w:ind w:left="15" w:right="168" w:firstLine="4"/>
            </w:pPr>
            <w:r>
              <w:rPr>
                <w:spacing w:val="-2"/>
              </w:rPr>
              <w:t>工资及福利保障、健康和安全、畅</w:t>
            </w:r>
            <w:r>
              <w:rPr>
                <w:spacing w:val="11"/>
              </w:rPr>
              <w:t xml:space="preserve"> </w:t>
            </w:r>
            <w:r>
              <w:rPr>
                <w:spacing w:val="-2"/>
              </w:rPr>
              <w:t>顺沟通、公平晋升和发展机会</w:t>
            </w:r>
          </w:p>
        </w:tc>
        <w:tc>
          <w:tcPr>
            <w:tcW w:w="3711" w:type="dxa"/>
            <w:vAlign w:val="top"/>
          </w:tcPr>
          <w:p w14:paraId="4C9C768E">
            <w:pPr>
              <w:pStyle w:val="6"/>
              <w:spacing w:before="35" w:line="228" w:lineRule="auto"/>
              <w:ind w:left="17" w:right="182" w:firstLine="3"/>
              <w:jc w:val="both"/>
            </w:pPr>
            <w:r>
              <w:rPr>
                <w:spacing w:val="-2"/>
              </w:rPr>
              <w:t>及时足额发放工资、缴纳社保、建立</w:t>
            </w:r>
            <w:r>
              <w:rPr>
                <w:spacing w:val="14"/>
              </w:rPr>
              <w:t xml:space="preserve"> </w:t>
            </w:r>
            <w:r>
              <w:rPr>
                <w:spacing w:val="-1"/>
              </w:rPr>
              <w:t>职业健康安全管理体系、畅通沟通渠</w:t>
            </w:r>
            <w:r>
              <w:rPr>
                <w:spacing w:val="1"/>
              </w:rPr>
              <w:t xml:space="preserve"> </w:t>
            </w:r>
            <w:r>
              <w:rPr>
                <w:spacing w:val="-1"/>
              </w:rPr>
              <w:t>道、职业发展通道、员工培训</w:t>
            </w:r>
          </w:p>
        </w:tc>
      </w:tr>
      <w:tr w14:paraId="65B58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1336" w:type="dxa"/>
            <w:vAlign w:val="top"/>
          </w:tcPr>
          <w:p w14:paraId="57BE8EA6">
            <w:pPr>
              <w:spacing w:line="389" w:lineRule="auto"/>
              <w:rPr>
                <w:rFonts w:ascii="Arial"/>
                <w:sz w:val="21"/>
              </w:rPr>
            </w:pPr>
          </w:p>
          <w:p w14:paraId="3919E2DB">
            <w:pPr>
              <w:pStyle w:val="6"/>
              <w:spacing w:before="72" w:line="219" w:lineRule="auto"/>
              <w:ind w:left="464"/>
            </w:pPr>
            <w:r>
              <w:rPr>
                <w:spacing w:val="-5"/>
              </w:rPr>
              <w:t>客户</w:t>
            </w:r>
          </w:p>
        </w:tc>
        <w:tc>
          <w:tcPr>
            <w:tcW w:w="3476" w:type="dxa"/>
            <w:vAlign w:val="top"/>
          </w:tcPr>
          <w:p w14:paraId="334F2F87">
            <w:pPr>
              <w:pStyle w:val="6"/>
              <w:spacing w:before="35" w:line="218" w:lineRule="auto"/>
              <w:ind w:left="15"/>
            </w:pPr>
            <w:r>
              <w:rPr>
                <w:spacing w:val="-1"/>
              </w:rPr>
              <w:t>信守承诺、回报与增长、公司治</w:t>
            </w:r>
          </w:p>
          <w:p w14:paraId="57686D4C">
            <w:pPr>
              <w:pStyle w:val="6"/>
              <w:spacing w:before="25" w:line="228" w:lineRule="auto"/>
              <w:ind w:left="14" w:right="168" w:firstLine="2"/>
            </w:pPr>
            <w:r>
              <w:rPr>
                <w:spacing w:val="-2"/>
              </w:rPr>
              <w:t>理、控制风险、经验分享、完善服</w:t>
            </w:r>
            <w:r>
              <w:t xml:space="preserve"> </w:t>
            </w:r>
            <w:r>
              <w:rPr>
                <w:spacing w:val="-1"/>
              </w:rPr>
              <w:t>务体系，尊重客户意愿，与客户和</w:t>
            </w:r>
            <w:r>
              <w:rPr>
                <w:spacing w:val="2"/>
              </w:rPr>
              <w:t xml:space="preserve"> </w:t>
            </w:r>
            <w:r>
              <w:rPr>
                <w:spacing w:val="-3"/>
              </w:rPr>
              <w:t>谐发展</w:t>
            </w:r>
          </w:p>
        </w:tc>
        <w:tc>
          <w:tcPr>
            <w:tcW w:w="3711" w:type="dxa"/>
            <w:vAlign w:val="top"/>
          </w:tcPr>
          <w:p w14:paraId="06F9C187">
            <w:pPr>
              <w:spacing w:line="249" w:lineRule="auto"/>
              <w:rPr>
                <w:rFonts w:ascii="Arial"/>
                <w:sz w:val="21"/>
              </w:rPr>
            </w:pPr>
          </w:p>
          <w:p w14:paraId="632096DF">
            <w:pPr>
              <w:pStyle w:val="6"/>
              <w:spacing w:before="71" w:line="228" w:lineRule="auto"/>
              <w:ind w:left="22" w:right="182"/>
            </w:pPr>
            <w:r>
              <w:rPr>
                <w:spacing w:val="-2"/>
              </w:rPr>
              <w:t>定期进行外部客户满意度调查，依法</w:t>
            </w:r>
            <w:r>
              <w:rPr>
                <w:spacing w:val="12"/>
              </w:rPr>
              <w:t xml:space="preserve"> </w:t>
            </w:r>
            <w:r>
              <w:rPr>
                <w:spacing w:val="-2"/>
              </w:rPr>
              <w:t>履行合同、营销大会、报告与通报</w:t>
            </w:r>
          </w:p>
        </w:tc>
      </w:tr>
      <w:tr w14:paraId="58685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336" w:type="dxa"/>
            <w:vAlign w:val="top"/>
          </w:tcPr>
          <w:p w14:paraId="7F5879CB">
            <w:pPr>
              <w:spacing w:line="244" w:lineRule="auto"/>
              <w:rPr>
                <w:rFonts w:ascii="Arial"/>
                <w:sz w:val="21"/>
              </w:rPr>
            </w:pPr>
          </w:p>
          <w:p w14:paraId="50BE64B7">
            <w:pPr>
              <w:pStyle w:val="6"/>
              <w:spacing w:before="71" w:line="219" w:lineRule="auto"/>
              <w:ind w:left="460"/>
            </w:pPr>
            <w:r>
              <w:rPr>
                <w:spacing w:val="-4"/>
              </w:rPr>
              <w:t>环境</w:t>
            </w:r>
          </w:p>
        </w:tc>
        <w:tc>
          <w:tcPr>
            <w:tcW w:w="3476" w:type="dxa"/>
            <w:vAlign w:val="top"/>
          </w:tcPr>
          <w:p w14:paraId="1C828ED3">
            <w:pPr>
              <w:spacing w:line="244" w:lineRule="auto"/>
              <w:rPr>
                <w:rFonts w:ascii="Arial"/>
                <w:sz w:val="21"/>
              </w:rPr>
            </w:pPr>
          </w:p>
          <w:p w14:paraId="3E8BEFF1">
            <w:pPr>
              <w:pStyle w:val="6"/>
              <w:spacing w:before="72" w:line="217" w:lineRule="auto"/>
              <w:ind w:left="20"/>
            </w:pPr>
            <w:r>
              <w:rPr>
                <w:spacing w:val="-2"/>
              </w:rPr>
              <w:t>节能减排、保护生态</w:t>
            </w:r>
          </w:p>
        </w:tc>
        <w:tc>
          <w:tcPr>
            <w:tcW w:w="3711" w:type="dxa"/>
            <w:vAlign w:val="top"/>
          </w:tcPr>
          <w:p w14:paraId="5C4E3273">
            <w:pPr>
              <w:spacing w:line="244" w:lineRule="auto"/>
              <w:rPr>
                <w:rFonts w:ascii="Arial"/>
                <w:sz w:val="21"/>
              </w:rPr>
            </w:pPr>
          </w:p>
          <w:p w14:paraId="1DFD2045">
            <w:pPr>
              <w:pStyle w:val="6"/>
              <w:spacing w:before="71" w:line="219" w:lineRule="auto"/>
              <w:ind w:left="17"/>
            </w:pPr>
            <w:r>
              <w:rPr>
                <w:spacing w:val="-2"/>
              </w:rPr>
              <w:t>建立环境管理体系，绿色企业</w:t>
            </w:r>
          </w:p>
        </w:tc>
      </w:tr>
      <w:tr w14:paraId="5CFE6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336" w:type="dxa"/>
            <w:vAlign w:val="top"/>
          </w:tcPr>
          <w:p w14:paraId="43AA0115">
            <w:pPr>
              <w:spacing w:line="248" w:lineRule="auto"/>
              <w:rPr>
                <w:rFonts w:ascii="Arial"/>
                <w:sz w:val="21"/>
              </w:rPr>
            </w:pPr>
          </w:p>
          <w:p w14:paraId="3209A661">
            <w:pPr>
              <w:pStyle w:val="6"/>
              <w:spacing w:before="72" w:line="219" w:lineRule="auto"/>
              <w:ind w:left="129"/>
            </w:pPr>
            <w:r>
              <w:rPr>
                <w:spacing w:val="-3"/>
              </w:rPr>
              <w:t>社会和公众</w:t>
            </w:r>
          </w:p>
        </w:tc>
        <w:tc>
          <w:tcPr>
            <w:tcW w:w="3476" w:type="dxa"/>
            <w:vAlign w:val="top"/>
          </w:tcPr>
          <w:p w14:paraId="271828D1">
            <w:pPr>
              <w:pStyle w:val="6"/>
              <w:spacing w:before="178" w:line="228" w:lineRule="auto"/>
              <w:ind w:left="21" w:right="168" w:hanging="6"/>
            </w:pPr>
            <w:r>
              <w:rPr>
                <w:spacing w:val="-1"/>
              </w:rPr>
              <w:t>支持社会发展、关注弱势群体、扶</w:t>
            </w:r>
            <w:r>
              <w:rPr>
                <w:spacing w:val="1"/>
              </w:rPr>
              <w:t xml:space="preserve"> </w:t>
            </w:r>
            <w:r>
              <w:rPr>
                <w:spacing w:val="-5"/>
              </w:rPr>
              <w:t>贫济困</w:t>
            </w:r>
          </w:p>
        </w:tc>
        <w:tc>
          <w:tcPr>
            <w:tcW w:w="3711" w:type="dxa"/>
            <w:vAlign w:val="top"/>
          </w:tcPr>
          <w:p w14:paraId="1E8DFF9D">
            <w:pPr>
              <w:pStyle w:val="6"/>
              <w:spacing w:before="177" w:line="229" w:lineRule="auto"/>
              <w:ind w:left="17" w:right="182" w:firstLine="1"/>
            </w:pPr>
            <w:r>
              <w:rPr>
                <w:spacing w:val="-1"/>
              </w:rPr>
              <w:t>积极挖掘、培养人才、持续参与慈善</w:t>
            </w:r>
            <w:r>
              <w:t xml:space="preserve"> </w:t>
            </w:r>
            <w:r>
              <w:rPr>
                <w:spacing w:val="-2"/>
              </w:rPr>
              <w:t>事业，积极投身公益事业</w:t>
            </w:r>
          </w:p>
        </w:tc>
      </w:tr>
      <w:tr w14:paraId="45A66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336" w:type="dxa"/>
            <w:vAlign w:val="top"/>
          </w:tcPr>
          <w:p w14:paraId="3921D70C">
            <w:pPr>
              <w:spacing w:line="249" w:lineRule="auto"/>
              <w:rPr>
                <w:rFonts w:ascii="Arial"/>
                <w:sz w:val="21"/>
              </w:rPr>
            </w:pPr>
          </w:p>
          <w:p w14:paraId="226CFCB5">
            <w:pPr>
              <w:pStyle w:val="6"/>
              <w:spacing w:before="71" w:line="219" w:lineRule="auto"/>
              <w:ind w:left="461"/>
            </w:pPr>
            <w:r>
              <w:rPr>
                <w:spacing w:val="-4"/>
              </w:rPr>
              <w:t>政府</w:t>
            </w:r>
          </w:p>
        </w:tc>
        <w:tc>
          <w:tcPr>
            <w:tcW w:w="3476" w:type="dxa"/>
            <w:vAlign w:val="top"/>
          </w:tcPr>
          <w:p w14:paraId="63A4D32C">
            <w:pPr>
              <w:pStyle w:val="6"/>
              <w:spacing w:before="180" w:line="229" w:lineRule="auto"/>
              <w:ind w:left="15" w:right="168" w:hanging="2"/>
            </w:pPr>
            <w:r>
              <w:rPr>
                <w:spacing w:val="-1"/>
              </w:rPr>
              <w:t>遵纪守法、依法纳税、支持经济发</w:t>
            </w:r>
            <w:r>
              <w:rPr>
                <w:spacing w:val="3"/>
              </w:rPr>
              <w:t xml:space="preserve"> </w:t>
            </w:r>
            <w:r>
              <w:t>展</w:t>
            </w:r>
          </w:p>
        </w:tc>
        <w:tc>
          <w:tcPr>
            <w:tcW w:w="3711" w:type="dxa"/>
            <w:vAlign w:val="top"/>
          </w:tcPr>
          <w:p w14:paraId="29F07BB4">
            <w:pPr>
              <w:spacing w:line="249" w:lineRule="auto"/>
              <w:rPr>
                <w:rFonts w:ascii="Arial"/>
                <w:sz w:val="21"/>
              </w:rPr>
            </w:pPr>
          </w:p>
          <w:p w14:paraId="192E3923">
            <w:pPr>
              <w:pStyle w:val="6"/>
              <w:spacing w:before="71" w:line="217" w:lineRule="auto"/>
              <w:ind w:left="23"/>
            </w:pPr>
            <w:r>
              <w:rPr>
                <w:spacing w:val="-2"/>
              </w:rPr>
              <w:t>合规管理、主动纳税、执行国家政策</w:t>
            </w:r>
          </w:p>
        </w:tc>
      </w:tr>
    </w:tbl>
    <w:p w14:paraId="78E65872">
      <w:pPr>
        <w:pStyle w:val="2"/>
        <w:spacing w:line="369" w:lineRule="auto"/>
      </w:pPr>
    </w:p>
    <w:p w14:paraId="1A4D5EA8">
      <w:pPr>
        <w:spacing w:before="78" w:line="346" w:lineRule="auto"/>
        <w:ind w:left="990" w:right="175" w:firstLine="469"/>
        <w:rPr>
          <w:rFonts w:ascii="宋体" w:hAnsi="宋体" w:eastAsia="宋体" w:cs="宋体"/>
          <w:sz w:val="24"/>
          <w:szCs w:val="24"/>
        </w:rPr>
      </w:pPr>
      <w:r>
        <w:rPr>
          <w:rFonts w:ascii="宋体" w:hAnsi="宋体" w:eastAsia="宋体" w:cs="宋体"/>
          <w:spacing w:val="-4"/>
          <w:sz w:val="24"/>
          <w:szCs w:val="24"/>
        </w:rPr>
        <w:t>高层领导还通过一对一交流、谈话、演讲、总经理信箱、微信平台、公司公众</w:t>
      </w:r>
      <w:r>
        <w:rPr>
          <w:rFonts w:ascii="宋体" w:hAnsi="宋体" w:eastAsia="宋体" w:cs="宋体"/>
          <w:spacing w:val="12"/>
          <w:sz w:val="24"/>
          <w:szCs w:val="24"/>
        </w:rPr>
        <w:t xml:space="preserve"> </w:t>
      </w:r>
      <w:r>
        <w:rPr>
          <w:rFonts w:ascii="宋体" w:hAnsi="宋体" w:eastAsia="宋体" w:cs="宋体"/>
          <w:spacing w:val="-6"/>
          <w:sz w:val="24"/>
          <w:szCs w:val="24"/>
        </w:rPr>
        <w:t>微信号、午餐会、调研等形式与员工及其他相关方保持了坦诚、良好的双向沟通。</w:t>
      </w:r>
    </w:p>
    <w:p w14:paraId="0F2DEC6D">
      <w:pPr>
        <w:spacing w:before="33" w:line="350" w:lineRule="auto"/>
        <w:ind w:left="989" w:right="194" w:firstLine="487"/>
        <w:rPr>
          <w:rFonts w:ascii="宋体" w:hAnsi="宋体" w:eastAsia="宋体" w:cs="宋体"/>
          <w:sz w:val="24"/>
          <w:szCs w:val="24"/>
        </w:rPr>
      </w:pPr>
      <w:r>
        <w:rPr>
          <w:rFonts w:ascii="宋体" w:hAnsi="宋体" w:eastAsia="宋体" w:cs="宋体"/>
          <w:spacing w:val="2"/>
          <w:sz w:val="24"/>
          <w:szCs w:val="24"/>
        </w:rPr>
        <w:t>高层领导鼓励员工取得卓越绩效，公司建立和实施了健全的促进员工取得高</w:t>
      </w:r>
      <w:r>
        <w:rPr>
          <w:rFonts w:ascii="宋体" w:hAnsi="宋体" w:eastAsia="宋体" w:cs="宋体"/>
          <w:spacing w:val="15"/>
          <w:sz w:val="24"/>
          <w:szCs w:val="24"/>
        </w:rPr>
        <w:t xml:space="preserve"> </w:t>
      </w:r>
      <w:r>
        <w:rPr>
          <w:rFonts w:ascii="宋体" w:hAnsi="宋体" w:eastAsia="宋体" w:cs="宋体"/>
          <w:spacing w:val="2"/>
          <w:sz w:val="24"/>
          <w:szCs w:val="24"/>
        </w:rPr>
        <w:t>绩效的激励机制，包括物质奖励和精神奖励。通过签订目标责任书、企业文化奖</w:t>
      </w:r>
      <w:r>
        <w:rPr>
          <w:rFonts w:ascii="宋体" w:hAnsi="宋体" w:eastAsia="宋体" w:cs="宋体"/>
          <w:spacing w:val="15"/>
          <w:sz w:val="24"/>
          <w:szCs w:val="24"/>
        </w:rPr>
        <w:t xml:space="preserve"> </w:t>
      </w:r>
      <w:r>
        <w:rPr>
          <w:rFonts w:ascii="宋体" w:hAnsi="宋体" w:eastAsia="宋体" w:cs="宋体"/>
          <w:spacing w:val="-2"/>
          <w:sz w:val="24"/>
          <w:szCs w:val="24"/>
        </w:rPr>
        <w:t>评选、授权、职业发展等落实追求卓越绩效的相关要求。</w:t>
      </w:r>
    </w:p>
    <w:p w14:paraId="79D76E47">
      <w:pPr>
        <w:spacing w:before="41" w:line="219" w:lineRule="auto"/>
        <w:ind w:left="990"/>
        <w:rPr>
          <w:rFonts w:ascii="黑体" w:hAnsi="黑体" w:eastAsia="黑体" w:cs="黑体"/>
          <w:sz w:val="28"/>
          <w:szCs w:val="28"/>
        </w:rPr>
      </w:pPr>
      <w:r>
        <w:rPr>
          <w:rFonts w:ascii="黑体" w:hAnsi="黑体" w:eastAsia="黑体" w:cs="黑体"/>
          <w:spacing w:val="-1"/>
          <w:sz w:val="28"/>
          <w:szCs w:val="28"/>
        </w:rPr>
        <w:t>社会责任能力建设</w:t>
      </w:r>
    </w:p>
    <w:p w14:paraId="1B416C28">
      <w:pPr>
        <w:spacing w:before="207" w:line="350" w:lineRule="auto"/>
        <w:ind w:left="989" w:right="194" w:firstLine="488"/>
        <w:rPr>
          <w:rFonts w:ascii="宋体" w:hAnsi="宋体" w:eastAsia="宋体" w:cs="宋体"/>
          <w:sz w:val="24"/>
          <w:szCs w:val="24"/>
        </w:rPr>
      </w:pPr>
      <w:r>
        <w:rPr>
          <w:rFonts w:ascii="宋体" w:hAnsi="宋体" w:eastAsia="宋体" w:cs="宋体"/>
          <w:spacing w:val="2"/>
          <w:sz w:val="24"/>
          <w:szCs w:val="24"/>
        </w:rPr>
        <w:t>公司积极秉承以社会责任感为核心的精神内核，致力于企业遵纪守法、企业</w:t>
      </w:r>
      <w:r>
        <w:rPr>
          <w:rFonts w:ascii="宋体" w:hAnsi="宋体" w:eastAsia="宋体" w:cs="宋体"/>
          <w:spacing w:val="14"/>
          <w:sz w:val="24"/>
          <w:szCs w:val="24"/>
        </w:rPr>
        <w:t xml:space="preserve"> </w:t>
      </w:r>
      <w:r>
        <w:rPr>
          <w:rFonts w:ascii="宋体" w:hAnsi="宋体" w:eastAsia="宋体" w:cs="宋体"/>
          <w:spacing w:val="2"/>
          <w:sz w:val="24"/>
          <w:szCs w:val="24"/>
        </w:rPr>
        <w:t>诚信、企业健康发展、企业技术进步、企业和谐劳动关系、社会慈善、环境责任</w:t>
      </w:r>
      <w:r>
        <w:rPr>
          <w:rFonts w:ascii="宋体" w:hAnsi="宋体" w:eastAsia="宋体" w:cs="宋体"/>
          <w:spacing w:val="15"/>
          <w:sz w:val="24"/>
          <w:szCs w:val="24"/>
        </w:rPr>
        <w:t xml:space="preserve"> </w:t>
      </w:r>
      <w:r>
        <w:rPr>
          <w:rFonts w:ascii="宋体" w:hAnsi="宋体" w:eastAsia="宋体" w:cs="宋体"/>
          <w:spacing w:val="-1"/>
          <w:sz w:val="24"/>
          <w:szCs w:val="24"/>
        </w:rPr>
        <w:t>等各个领域的建设，在取得良好经济效益的同时，也取得</w:t>
      </w:r>
      <w:r>
        <w:rPr>
          <w:rFonts w:ascii="宋体" w:hAnsi="宋体" w:eastAsia="宋体" w:cs="宋体"/>
          <w:spacing w:val="-2"/>
          <w:sz w:val="24"/>
          <w:szCs w:val="24"/>
        </w:rPr>
        <w:t>了良好的社会信誉。</w:t>
      </w:r>
    </w:p>
    <w:p w14:paraId="733904C5">
      <w:pPr>
        <w:spacing w:before="34" w:line="351" w:lineRule="auto"/>
        <w:ind w:left="989" w:right="196" w:firstLine="488"/>
        <w:rPr>
          <w:rFonts w:ascii="宋体" w:hAnsi="宋体" w:eastAsia="宋体" w:cs="宋体"/>
          <w:sz w:val="24"/>
          <w:szCs w:val="24"/>
        </w:rPr>
      </w:pPr>
      <w:r>
        <w:rPr>
          <w:rFonts w:ascii="宋体" w:hAnsi="宋体" w:eastAsia="宋体" w:cs="宋体"/>
          <w:spacing w:val="2"/>
          <w:sz w:val="24"/>
          <w:szCs w:val="24"/>
        </w:rPr>
        <w:t>公司通过调查问卷、座谈会、公司网站、微信平台等多手段获取培训需求，</w:t>
      </w:r>
      <w:r>
        <w:rPr>
          <w:rFonts w:ascii="宋体" w:hAnsi="宋体" w:eastAsia="宋体" w:cs="宋体"/>
          <w:spacing w:val="11"/>
          <w:sz w:val="24"/>
          <w:szCs w:val="24"/>
        </w:rPr>
        <w:t xml:space="preserve"> </w:t>
      </w:r>
      <w:r>
        <w:rPr>
          <w:rFonts w:ascii="宋体" w:hAnsi="宋体" w:eastAsia="宋体" w:cs="宋体"/>
          <w:spacing w:val="2"/>
          <w:sz w:val="24"/>
          <w:szCs w:val="24"/>
        </w:rPr>
        <w:t>制定年度整体培训计划，年度培训计划包括安全、节能环保、质量管理等社会责</w:t>
      </w:r>
      <w:r>
        <w:rPr>
          <w:rFonts w:ascii="宋体" w:hAnsi="宋体" w:eastAsia="宋体" w:cs="宋体"/>
          <w:spacing w:val="15"/>
          <w:sz w:val="24"/>
          <w:szCs w:val="24"/>
        </w:rPr>
        <w:t xml:space="preserve"> </w:t>
      </w:r>
      <w:r>
        <w:rPr>
          <w:rFonts w:ascii="宋体" w:hAnsi="宋体" w:eastAsia="宋体" w:cs="宋体"/>
          <w:spacing w:val="2"/>
          <w:sz w:val="24"/>
          <w:szCs w:val="24"/>
        </w:rPr>
        <w:t>任相关培训，采用内部培训、外部聘请老师进公司课堂教学、外派学习等多种方</w:t>
      </w:r>
    </w:p>
    <w:p w14:paraId="060D87A2">
      <w:pPr>
        <w:spacing w:line="351" w:lineRule="auto"/>
        <w:rPr>
          <w:rFonts w:ascii="宋体" w:hAnsi="宋体" w:eastAsia="宋体" w:cs="宋体"/>
          <w:sz w:val="24"/>
          <w:szCs w:val="24"/>
        </w:rPr>
        <w:sectPr>
          <w:headerReference r:id="rId10" w:type="default"/>
          <w:footerReference r:id="rId11" w:type="default"/>
          <w:pgSz w:w="11912" w:h="16841"/>
          <w:pgMar w:top="1074" w:right="1517" w:bottom="1360" w:left="720" w:header="399" w:footer="1199" w:gutter="0"/>
          <w:cols w:space="720" w:num="1"/>
        </w:sectPr>
      </w:pPr>
    </w:p>
    <w:p w14:paraId="5C1ADC5D">
      <w:pPr>
        <w:pStyle w:val="2"/>
        <w:spacing w:line="290" w:lineRule="auto"/>
      </w:pPr>
    </w:p>
    <w:p w14:paraId="4734CCD5">
      <w:pPr>
        <w:pStyle w:val="2"/>
        <w:spacing w:line="291" w:lineRule="auto"/>
      </w:pPr>
    </w:p>
    <w:p w14:paraId="5FDC10A3">
      <w:pPr>
        <w:spacing w:before="78" w:line="350" w:lineRule="auto"/>
        <w:ind w:left="989" w:right="213" w:firstLine="5"/>
        <w:jc w:val="both"/>
        <w:rPr>
          <w:rFonts w:ascii="宋体" w:hAnsi="宋体" w:eastAsia="宋体" w:cs="宋体"/>
          <w:sz w:val="24"/>
          <w:szCs w:val="24"/>
        </w:rPr>
      </w:pPr>
      <w:r>
        <w:rPr>
          <w:rFonts w:ascii="宋体" w:hAnsi="宋体" w:eastAsia="宋体" w:cs="宋体"/>
          <w:spacing w:val="2"/>
          <w:sz w:val="24"/>
          <w:szCs w:val="24"/>
        </w:rPr>
        <w:t>式实施全员社会责任培训学习，积极参加县、市、省级经信委组织的社会责任会</w:t>
      </w:r>
      <w:r>
        <w:rPr>
          <w:rFonts w:ascii="宋体" w:hAnsi="宋体" w:eastAsia="宋体" w:cs="宋体"/>
          <w:spacing w:val="14"/>
          <w:sz w:val="24"/>
          <w:szCs w:val="24"/>
        </w:rPr>
        <w:t xml:space="preserve"> </w:t>
      </w:r>
      <w:r>
        <w:rPr>
          <w:rFonts w:ascii="宋体" w:hAnsi="宋体" w:eastAsia="宋体" w:cs="宋体"/>
          <w:spacing w:val="2"/>
          <w:sz w:val="24"/>
          <w:szCs w:val="24"/>
        </w:rPr>
        <w:t>议、活动，行业内外有关社会责任的研讨与交流，学习、借鉴和推广企业社会责</w:t>
      </w:r>
      <w:r>
        <w:rPr>
          <w:rFonts w:ascii="宋体" w:hAnsi="宋体" w:eastAsia="宋体" w:cs="宋体"/>
          <w:spacing w:val="15"/>
          <w:sz w:val="24"/>
          <w:szCs w:val="24"/>
        </w:rPr>
        <w:t xml:space="preserve"> </w:t>
      </w:r>
      <w:r>
        <w:rPr>
          <w:rFonts w:ascii="宋体" w:hAnsi="宋体" w:eastAsia="宋体" w:cs="宋体"/>
          <w:spacing w:val="-6"/>
          <w:sz w:val="24"/>
          <w:szCs w:val="24"/>
        </w:rPr>
        <w:t>任最佳实践。</w:t>
      </w:r>
    </w:p>
    <w:p w14:paraId="56998768">
      <w:pPr>
        <w:spacing w:before="35" w:line="346" w:lineRule="auto"/>
        <w:ind w:left="991" w:right="206" w:firstLine="506"/>
        <w:rPr>
          <w:rFonts w:ascii="宋体" w:hAnsi="宋体" w:eastAsia="宋体" w:cs="宋体"/>
          <w:sz w:val="24"/>
          <w:szCs w:val="24"/>
        </w:rPr>
      </w:pPr>
      <w:r>
        <w:rPr>
          <w:rFonts w:ascii="宋体" w:hAnsi="宋体" w:eastAsia="宋体" w:cs="宋体"/>
          <w:spacing w:val="2"/>
          <w:sz w:val="24"/>
          <w:szCs w:val="24"/>
        </w:rPr>
        <w:t xml:space="preserve">以下，分别就诚信经营、自主创新、环境保护、关爱员工、回馈社会等五个 </w:t>
      </w:r>
      <w:r>
        <w:rPr>
          <w:rFonts w:ascii="宋体" w:hAnsi="宋体" w:eastAsia="宋体" w:cs="宋体"/>
          <w:spacing w:val="-3"/>
          <w:sz w:val="24"/>
          <w:szCs w:val="24"/>
        </w:rPr>
        <w:t>方面介绍公司践行社会责任情况。</w:t>
      </w:r>
    </w:p>
    <w:p w14:paraId="5C38438D">
      <w:pPr>
        <w:spacing w:before="32" w:line="220" w:lineRule="auto"/>
        <w:ind w:left="1489"/>
        <w:rPr>
          <w:rFonts w:ascii="宋体" w:hAnsi="宋体" w:eastAsia="宋体" w:cs="宋体"/>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0"/>
          <w:sz w:val="24"/>
          <w:szCs w:val="24"/>
        </w:rPr>
        <w:t>、</w:t>
      </w:r>
      <w:r>
        <w:rPr>
          <w:rFonts w:ascii="宋体" w:hAnsi="宋体" w:eastAsia="宋体" w:cs="宋体"/>
          <w:b/>
          <w:bCs/>
          <w:spacing w:val="-10"/>
          <w:sz w:val="24"/>
          <w:szCs w:val="24"/>
        </w:rPr>
        <w:t>诚信经营</w:t>
      </w:r>
    </w:p>
    <w:p w14:paraId="7BDBFD54">
      <w:pPr>
        <w:spacing w:before="181" w:line="353" w:lineRule="auto"/>
        <w:ind w:left="989" w:right="215" w:firstLine="484"/>
        <w:rPr>
          <w:rFonts w:ascii="宋体" w:hAnsi="宋体" w:eastAsia="宋体" w:cs="宋体"/>
          <w:sz w:val="24"/>
          <w:szCs w:val="24"/>
        </w:rPr>
      </w:pPr>
      <w:r>
        <w:rPr>
          <w:rFonts w:ascii="宋体" w:hAnsi="宋体" w:eastAsia="宋体" w:cs="宋体"/>
          <w:spacing w:val="2"/>
          <w:sz w:val="24"/>
          <w:szCs w:val="24"/>
        </w:rPr>
        <w:t>坚持诚信经营，重视债权人权益保护。在经营决策过程中，公司高度重视债</w:t>
      </w:r>
      <w:r>
        <w:rPr>
          <w:rFonts w:ascii="宋体" w:hAnsi="宋体" w:eastAsia="宋体" w:cs="宋体"/>
          <w:spacing w:val="17"/>
          <w:sz w:val="24"/>
          <w:szCs w:val="24"/>
        </w:rPr>
        <w:t xml:space="preserve"> </w:t>
      </w:r>
      <w:r>
        <w:rPr>
          <w:rFonts w:ascii="宋体" w:hAnsi="宋体" w:eastAsia="宋体" w:cs="宋体"/>
          <w:spacing w:val="2"/>
          <w:sz w:val="24"/>
          <w:szCs w:val="24"/>
        </w:rPr>
        <w:t>权人权益保护，严格按照与债权人签订的合同履行义务，充分考虑债权人的合法</w:t>
      </w:r>
      <w:r>
        <w:rPr>
          <w:rFonts w:ascii="宋体" w:hAnsi="宋体" w:eastAsia="宋体" w:cs="宋体"/>
          <w:spacing w:val="15"/>
          <w:sz w:val="24"/>
          <w:szCs w:val="24"/>
        </w:rPr>
        <w:t xml:space="preserve"> </w:t>
      </w:r>
      <w:r>
        <w:rPr>
          <w:rFonts w:ascii="宋体" w:hAnsi="宋体" w:eastAsia="宋体" w:cs="宋体"/>
          <w:spacing w:val="2"/>
          <w:sz w:val="24"/>
          <w:szCs w:val="24"/>
        </w:rPr>
        <w:t>权益，及时通报相关的重大信息，保持与相关方的良好合作关系，为公司的长远</w:t>
      </w:r>
      <w:r>
        <w:rPr>
          <w:rFonts w:ascii="宋体" w:hAnsi="宋体" w:eastAsia="宋体" w:cs="宋体"/>
          <w:spacing w:val="15"/>
          <w:sz w:val="24"/>
          <w:szCs w:val="24"/>
        </w:rPr>
        <w:t xml:space="preserve"> </w:t>
      </w:r>
      <w:r>
        <w:rPr>
          <w:rFonts w:ascii="宋体" w:hAnsi="宋体" w:eastAsia="宋体" w:cs="宋体"/>
          <w:spacing w:val="2"/>
          <w:sz w:val="24"/>
          <w:szCs w:val="24"/>
        </w:rPr>
        <w:t>发展提供了必要的条件。企业领导法律意识强，重视商业信誉和合同管理工作，</w:t>
      </w:r>
    </w:p>
    <w:p w14:paraId="36B6C454">
      <w:pPr>
        <w:spacing w:before="33" w:line="354" w:lineRule="auto"/>
        <w:ind w:left="989" w:right="29" w:firstLine="4"/>
        <w:rPr>
          <w:rFonts w:ascii="宋体" w:hAnsi="宋体" w:eastAsia="宋体" w:cs="宋体"/>
          <w:sz w:val="24"/>
          <w:szCs w:val="24"/>
        </w:rPr>
      </w:pPr>
      <w:r>
        <w:rPr>
          <w:rFonts w:ascii="宋体" w:hAnsi="宋体" w:eastAsia="宋体" w:cs="宋体"/>
          <w:spacing w:val="2"/>
          <w:sz w:val="24"/>
          <w:szCs w:val="24"/>
        </w:rPr>
        <w:t>坚持诚实信誉的经营理念，建立了科学合理的合同信用管理机制，有专职合同信</w:t>
      </w:r>
      <w:r>
        <w:rPr>
          <w:rFonts w:ascii="宋体" w:hAnsi="宋体" w:eastAsia="宋体" w:cs="宋体"/>
          <w:spacing w:val="5"/>
          <w:sz w:val="24"/>
          <w:szCs w:val="24"/>
        </w:rPr>
        <w:t xml:space="preserve">  </w:t>
      </w:r>
      <w:r>
        <w:rPr>
          <w:rFonts w:ascii="宋体" w:hAnsi="宋体" w:eastAsia="宋体" w:cs="宋体"/>
          <w:spacing w:val="2"/>
          <w:sz w:val="24"/>
          <w:szCs w:val="24"/>
        </w:rPr>
        <w:t>用管理的法律顾问，并有企业领导负责日常信用管理工作，具有较强的合同管理</w:t>
      </w:r>
      <w:r>
        <w:rPr>
          <w:rFonts w:ascii="宋体" w:hAnsi="宋体" w:eastAsia="宋体" w:cs="宋体"/>
          <w:spacing w:val="7"/>
          <w:sz w:val="24"/>
          <w:szCs w:val="24"/>
        </w:rPr>
        <w:t xml:space="preserve">  </w:t>
      </w:r>
      <w:r>
        <w:rPr>
          <w:rFonts w:ascii="宋体" w:hAnsi="宋体" w:eastAsia="宋体" w:cs="宋体"/>
          <w:spacing w:val="1"/>
          <w:sz w:val="24"/>
          <w:szCs w:val="24"/>
        </w:rPr>
        <w:t>水平企业。企业在履行合同中遵纪守法、诚实守信。通过加强合同信用管理工</w:t>
      </w:r>
      <w:r>
        <w:rPr>
          <w:rFonts w:ascii="宋体" w:hAnsi="宋体" w:eastAsia="宋体" w:cs="宋体"/>
          <w:sz w:val="24"/>
          <w:szCs w:val="24"/>
        </w:rPr>
        <w:t xml:space="preserve">作， </w:t>
      </w:r>
      <w:r>
        <w:rPr>
          <w:rFonts w:ascii="宋体" w:hAnsi="宋体" w:eastAsia="宋体" w:cs="宋体"/>
          <w:spacing w:val="2"/>
          <w:sz w:val="24"/>
          <w:szCs w:val="24"/>
        </w:rPr>
        <w:t>在维护自身合法权益，提升经营管理水平，经济效益和社会效益等方面取得好的</w:t>
      </w:r>
      <w:r>
        <w:rPr>
          <w:rFonts w:ascii="宋体" w:hAnsi="宋体" w:eastAsia="宋体" w:cs="宋体"/>
          <w:spacing w:val="7"/>
          <w:sz w:val="24"/>
          <w:szCs w:val="24"/>
        </w:rPr>
        <w:t xml:space="preserve">  </w:t>
      </w:r>
      <w:r>
        <w:rPr>
          <w:rFonts w:ascii="宋体" w:hAnsi="宋体" w:eastAsia="宋体" w:cs="宋体"/>
          <w:spacing w:val="-10"/>
          <w:sz w:val="24"/>
          <w:szCs w:val="24"/>
        </w:rPr>
        <w:t>效果。</w:t>
      </w:r>
    </w:p>
    <w:p w14:paraId="22AD1C3B">
      <w:pPr>
        <w:spacing w:before="35" w:line="220" w:lineRule="auto"/>
        <w:ind w:left="1466"/>
        <w:rPr>
          <w:rFonts w:ascii="宋体" w:hAnsi="宋体" w:eastAsia="宋体" w:cs="宋体"/>
          <w:sz w:val="24"/>
          <w:szCs w:val="24"/>
        </w:rPr>
      </w:pPr>
      <w:r>
        <w:rPr>
          <w:rFonts w:ascii="Times New Roman" w:hAnsi="Times New Roman" w:eastAsia="Times New Roman" w:cs="Times New Roman"/>
          <w:spacing w:val="-15"/>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15"/>
          <w:sz w:val="24"/>
          <w:szCs w:val="24"/>
        </w:rPr>
        <w:t>、</w:t>
      </w:r>
      <w:r>
        <w:rPr>
          <w:rFonts w:ascii="宋体" w:hAnsi="宋体" w:eastAsia="宋体" w:cs="宋体"/>
          <w:spacing w:val="-71"/>
          <w:sz w:val="24"/>
          <w:szCs w:val="24"/>
        </w:rPr>
        <w:t xml:space="preserve"> </w:t>
      </w:r>
      <w:r>
        <w:rPr>
          <w:rFonts w:ascii="宋体" w:hAnsi="宋体" w:eastAsia="宋体" w:cs="宋体"/>
          <w:b/>
          <w:bCs/>
          <w:spacing w:val="-15"/>
          <w:sz w:val="24"/>
          <w:szCs w:val="24"/>
        </w:rPr>
        <w:t>自主创新</w:t>
      </w:r>
    </w:p>
    <w:p w14:paraId="22E43CB4">
      <w:pPr>
        <w:spacing w:before="177" w:line="353" w:lineRule="auto"/>
        <w:ind w:left="991" w:firstLine="469"/>
        <w:rPr>
          <w:rFonts w:ascii="宋体" w:hAnsi="宋体" w:eastAsia="宋体" w:cs="宋体"/>
          <w:sz w:val="24"/>
          <w:szCs w:val="24"/>
        </w:rPr>
      </w:pPr>
      <w:r>
        <w:rPr>
          <w:rFonts w:ascii="宋体" w:hAnsi="宋体" w:eastAsia="宋体" w:cs="宋体"/>
          <w:spacing w:val="-5"/>
          <w:sz w:val="24"/>
          <w:szCs w:val="24"/>
        </w:rPr>
        <w:t>公司以市场为导向，以管理为保障、技术为依托，充分利用公司的设备、技术、</w:t>
      </w:r>
      <w:r>
        <w:rPr>
          <w:rFonts w:ascii="宋体" w:hAnsi="宋体" w:eastAsia="宋体" w:cs="宋体"/>
          <w:spacing w:val="7"/>
          <w:sz w:val="24"/>
          <w:szCs w:val="24"/>
        </w:rPr>
        <w:t xml:space="preserve"> </w:t>
      </w:r>
      <w:r>
        <w:rPr>
          <w:rFonts w:ascii="宋体" w:hAnsi="宋体" w:eastAsia="宋体" w:cs="宋体"/>
          <w:spacing w:val="-4"/>
          <w:sz w:val="24"/>
          <w:szCs w:val="24"/>
        </w:rPr>
        <w:t>管理、人才等方面的优势，立足研发、生产及销售高品质汽车座椅配件。通过持续</w:t>
      </w:r>
      <w:r>
        <w:rPr>
          <w:rFonts w:ascii="宋体" w:hAnsi="宋体" w:eastAsia="宋体" w:cs="宋体"/>
          <w:spacing w:val="2"/>
          <w:sz w:val="24"/>
          <w:szCs w:val="24"/>
        </w:rPr>
        <w:t xml:space="preserve">  </w:t>
      </w:r>
      <w:r>
        <w:rPr>
          <w:rFonts w:ascii="宋体" w:hAnsi="宋体" w:eastAsia="宋体" w:cs="宋体"/>
          <w:spacing w:val="-4"/>
          <w:sz w:val="24"/>
          <w:szCs w:val="24"/>
        </w:rPr>
        <w:t>开展技改项目，引进先进的智能化、自动化设备，加大技术研发投入，提高产品的</w:t>
      </w:r>
      <w:r>
        <w:rPr>
          <w:rFonts w:ascii="宋体" w:hAnsi="宋体" w:eastAsia="宋体" w:cs="宋体"/>
          <w:spacing w:val="2"/>
          <w:sz w:val="24"/>
          <w:szCs w:val="24"/>
        </w:rPr>
        <w:t xml:space="preserve">  </w:t>
      </w:r>
      <w:r>
        <w:rPr>
          <w:rFonts w:ascii="宋体" w:hAnsi="宋体" w:eastAsia="宋体" w:cs="宋体"/>
          <w:spacing w:val="-9"/>
          <w:sz w:val="24"/>
          <w:szCs w:val="24"/>
        </w:rPr>
        <w:t>技术含量，强化公司核心竞争能力。</w:t>
      </w:r>
    </w:p>
    <w:p w14:paraId="53825B3D">
      <w:pPr>
        <w:spacing w:before="34" w:line="220" w:lineRule="auto"/>
        <w:ind w:left="1470"/>
        <w:rPr>
          <w:rFonts w:ascii="宋体" w:hAnsi="宋体" w:eastAsia="宋体" w:cs="宋体"/>
          <w:sz w:val="24"/>
          <w:szCs w:val="24"/>
        </w:rPr>
      </w:pPr>
      <w:r>
        <w:rPr>
          <w:rFonts w:ascii="Times New Roman" w:hAnsi="Times New Roman" w:eastAsia="Times New Roman" w:cs="Times New Roman"/>
          <w:spacing w:val="-7"/>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w:t>
      </w:r>
      <w:r>
        <w:rPr>
          <w:rFonts w:ascii="宋体" w:hAnsi="宋体" w:eastAsia="宋体" w:cs="宋体"/>
          <w:b/>
          <w:bCs/>
          <w:spacing w:val="-7"/>
          <w:sz w:val="24"/>
          <w:szCs w:val="24"/>
        </w:rPr>
        <w:t>环境保护</w:t>
      </w:r>
    </w:p>
    <w:p w14:paraId="4AA9D385">
      <w:pPr>
        <w:spacing w:before="179" w:line="355" w:lineRule="auto"/>
        <w:ind w:left="991" w:right="189" w:firstLine="460"/>
        <w:rPr>
          <w:rFonts w:ascii="宋体" w:hAnsi="宋体" w:eastAsia="宋体" w:cs="宋体"/>
          <w:sz w:val="24"/>
          <w:szCs w:val="24"/>
        </w:rPr>
      </w:pPr>
      <w:r>
        <w:rPr>
          <w:rFonts w:ascii="宋体" w:hAnsi="宋体" w:eastAsia="宋体" w:cs="宋体"/>
          <w:spacing w:val="-3"/>
          <w:sz w:val="24"/>
          <w:szCs w:val="24"/>
        </w:rPr>
        <w:t>佳尔灵以可持续发展为己任，将环境利益和对环境的</w:t>
      </w:r>
      <w:r>
        <w:rPr>
          <w:rFonts w:ascii="宋体" w:hAnsi="宋体" w:eastAsia="宋体" w:cs="宋体"/>
          <w:spacing w:val="-4"/>
          <w:sz w:val="24"/>
          <w:szCs w:val="24"/>
        </w:rPr>
        <w:t>管理纳入企业经营管理全</w:t>
      </w:r>
      <w:r>
        <w:rPr>
          <w:rFonts w:ascii="宋体" w:hAnsi="宋体" w:eastAsia="宋体" w:cs="宋体"/>
          <w:sz w:val="24"/>
          <w:szCs w:val="24"/>
        </w:rPr>
        <w:t xml:space="preserve"> </w:t>
      </w:r>
      <w:r>
        <w:rPr>
          <w:rFonts w:ascii="宋体" w:hAnsi="宋体" w:eastAsia="宋体" w:cs="宋体"/>
          <w:spacing w:val="-10"/>
          <w:sz w:val="24"/>
          <w:szCs w:val="24"/>
        </w:rPr>
        <w:t>过程。公司已通过</w:t>
      </w:r>
      <w:r>
        <w:rPr>
          <w:rFonts w:ascii="Times New Roman" w:hAnsi="Times New Roman" w:eastAsia="Times New Roman" w:cs="Times New Roman"/>
          <w:spacing w:val="-10"/>
          <w:sz w:val="24"/>
          <w:szCs w:val="24"/>
        </w:rPr>
        <w:t>ISO14001</w:t>
      </w:r>
      <w:r>
        <w:rPr>
          <w:rFonts w:ascii="宋体" w:hAnsi="宋体" w:eastAsia="宋体" w:cs="宋体"/>
          <w:spacing w:val="-10"/>
          <w:sz w:val="24"/>
          <w:szCs w:val="24"/>
        </w:rPr>
        <w:t>环境管理体系。公司高度重视环境保护建设，积极实施节</w:t>
      </w:r>
      <w:r>
        <w:rPr>
          <w:rFonts w:ascii="宋体" w:hAnsi="宋体" w:eastAsia="宋体" w:cs="宋体"/>
          <w:spacing w:val="12"/>
          <w:sz w:val="24"/>
          <w:szCs w:val="24"/>
        </w:rPr>
        <w:t xml:space="preserve"> </w:t>
      </w:r>
      <w:r>
        <w:rPr>
          <w:rFonts w:ascii="宋体" w:hAnsi="宋体" w:eastAsia="宋体" w:cs="宋体"/>
          <w:spacing w:val="-4"/>
          <w:sz w:val="24"/>
          <w:szCs w:val="24"/>
        </w:rPr>
        <w:t>能降耗方案，持续不断地加大投入公司信息化、智能化的水平和能力，利用电子办</w:t>
      </w:r>
      <w:r>
        <w:rPr>
          <w:rFonts w:ascii="宋体" w:hAnsi="宋体" w:eastAsia="宋体" w:cs="宋体"/>
          <w:spacing w:val="16"/>
          <w:sz w:val="24"/>
          <w:szCs w:val="24"/>
        </w:rPr>
        <w:t xml:space="preserve"> </w:t>
      </w:r>
      <w:r>
        <w:rPr>
          <w:rFonts w:ascii="宋体" w:hAnsi="宋体" w:eastAsia="宋体" w:cs="宋体"/>
          <w:spacing w:val="-4"/>
          <w:sz w:val="24"/>
          <w:szCs w:val="24"/>
        </w:rPr>
        <w:t>公系统、电子传真、网络电话等无纸化办公设备，综合利用资源，减少纸张、通信</w:t>
      </w:r>
      <w:r>
        <w:rPr>
          <w:rFonts w:ascii="宋体" w:hAnsi="宋体" w:eastAsia="宋体" w:cs="宋体"/>
          <w:spacing w:val="15"/>
          <w:sz w:val="24"/>
          <w:szCs w:val="24"/>
        </w:rPr>
        <w:t xml:space="preserve"> </w:t>
      </w:r>
      <w:r>
        <w:rPr>
          <w:rFonts w:ascii="宋体" w:hAnsi="宋体" w:eastAsia="宋体" w:cs="宋体"/>
          <w:spacing w:val="-4"/>
          <w:sz w:val="24"/>
          <w:szCs w:val="24"/>
        </w:rPr>
        <w:t>资源的污染，努力打造节约型、环保型的企业。公司为了提高资源利用效率，减少</w:t>
      </w:r>
      <w:r>
        <w:rPr>
          <w:rFonts w:ascii="宋体" w:hAnsi="宋体" w:eastAsia="宋体" w:cs="宋体"/>
          <w:spacing w:val="16"/>
          <w:sz w:val="24"/>
          <w:szCs w:val="24"/>
        </w:rPr>
        <w:t xml:space="preserve"> </w:t>
      </w:r>
      <w:r>
        <w:rPr>
          <w:rFonts w:ascii="宋体" w:hAnsi="宋体" w:eastAsia="宋体" w:cs="宋体"/>
          <w:spacing w:val="-4"/>
          <w:sz w:val="24"/>
          <w:szCs w:val="24"/>
        </w:rPr>
        <w:t>或者避免生产、服务和产品使用过程中的污染物的产生和排放，以减轻或者消除对</w:t>
      </w:r>
      <w:r>
        <w:rPr>
          <w:rFonts w:ascii="宋体" w:hAnsi="宋体" w:eastAsia="宋体" w:cs="宋体"/>
          <w:spacing w:val="15"/>
          <w:sz w:val="24"/>
          <w:szCs w:val="24"/>
        </w:rPr>
        <w:t xml:space="preserve"> </w:t>
      </w:r>
      <w:r>
        <w:rPr>
          <w:rFonts w:ascii="宋体" w:hAnsi="宋体" w:eastAsia="宋体" w:cs="宋体"/>
          <w:spacing w:val="-11"/>
          <w:sz w:val="24"/>
          <w:szCs w:val="24"/>
        </w:rPr>
        <w:t>人类健康和环境的危害，积极推进清洁生产审核和能源管理体系贯标工作。</w:t>
      </w:r>
    </w:p>
    <w:p w14:paraId="24FB4E92">
      <w:pPr>
        <w:spacing w:before="41" w:line="219" w:lineRule="auto"/>
        <w:ind w:left="1446"/>
        <w:rPr>
          <w:rFonts w:ascii="宋体" w:hAnsi="宋体" w:eastAsia="宋体" w:cs="宋体"/>
          <w:sz w:val="24"/>
          <w:szCs w:val="24"/>
        </w:rPr>
      </w:pPr>
      <w:r>
        <w:rPr>
          <w:rFonts w:hint="eastAsia" w:ascii="Times New Roman" w:hAnsi="Times New Roman" w:eastAsia="宋体" w:cs="Times New Roman"/>
          <w:spacing w:val="-10"/>
          <w:sz w:val="24"/>
          <w:szCs w:val="24"/>
          <w:lang w:eastAsia="zh-CN"/>
        </w:rPr>
        <w:t>2024</w:t>
      </w:r>
      <w:r>
        <w:rPr>
          <w:rFonts w:ascii="宋体" w:hAnsi="宋体" w:eastAsia="宋体" w:cs="宋体"/>
          <w:spacing w:val="-10"/>
          <w:sz w:val="24"/>
          <w:szCs w:val="24"/>
        </w:rPr>
        <w:t>年采取了一系列低碳环保相关措施，取得了较好的绩效，具体如下：</w:t>
      </w:r>
    </w:p>
    <w:p w14:paraId="34E9CD22">
      <w:pPr>
        <w:spacing w:line="219" w:lineRule="auto"/>
        <w:rPr>
          <w:rFonts w:ascii="宋体" w:hAnsi="宋体" w:eastAsia="宋体" w:cs="宋体"/>
          <w:sz w:val="24"/>
          <w:szCs w:val="24"/>
        </w:rPr>
        <w:sectPr>
          <w:headerReference r:id="rId12" w:type="default"/>
          <w:footerReference r:id="rId13" w:type="default"/>
          <w:pgSz w:w="11912" w:h="16841"/>
          <w:pgMar w:top="1074" w:right="1495" w:bottom="1358" w:left="720" w:header="399" w:footer="1200" w:gutter="0"/>
          <w:cols w:space="720" w:num="1"/>
        </w:sectPr>
      </w:pPr>
    </w:p>
    <w:p w14:paraId="596DA40D">
      <w:pPr>
        <w:pStyle w:val="2"/>
        <w:spacing w:line="290" w:lineRule="auto"/>
      </w:pPr>
    </w:p>
    <w:p w14:paraId="6DA641DE">
      <w:pPr>
        <w:pStyle w:val="2"/>
        <w:spacing w:line="291" w:lineRule="auto"/>
      </w:pPr>
    </w:p>
    <w:p w14:paraId="5A5661AA">
      <w:pPr>
        <w:spacing w:before="78" w:line="220" w:lineRule="auto"/>
        <w:ind w:left="4445"/>
        <w:rPr>
          <w:rFonts w:ascii="宋体" w:hAnsi="宋体" w:eastAsia="宋体" w:cs="宋体"/>
          <w:sz w:val="24"/>
          <w:szCs w:val="24"/>
        </w:rPr>
      </w:pPr>
      <w:r>
        <w:rPr>
          <w:rFonts w:hint="eastAsia" w:ascii="Times New Roman" w:hAnsi="Times New Roman" w:eastAsia="宋体" w:cs="Times New Roman"/>
          <w:spacing w:val="-9"/>
          <w:sz w:val="24"/>
          <w:szCs w:val="24"/>
          <w:lang w:eastAsia="zh-CN"/>
        </w:rPr>
        <w:t>2024</w:t>
      </w:r>
      <w:r>
        <w:rPr>
          <w:rFonts w:ascii="宋体" w:hAnsi="宋体" w:eastAsia="宋体" w:cs="宋体"/>
          <w:spacing w:val="-9"/>
          <w:sz w:val="24"/>
          <w:szCs w:val="24"/>
        </w:rPr>
        <w:t>年低碳环保绩效</w:t>
      </w:r>
    </w:p>
    <w:p w14:paraId="5E7EF4A7">
      <w:pPr>
        <w:spacing w:line="143" w:lineRule="exact"/>
      </w:pPr>
    </w:p>
    <w:tbl>
      <w:tblPr>
        <w:tblStyle w:val="5"/>
        <w:tblW w:w="8730" w:type="dxa"/>
        <w:tblInd w:w="8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2243"/>
        <w:gridCol w:w="1473"/>
        <w:gridCol w:w="1842"/>
        <w:gridCol w:w="2040"/>
      </w:tblGrid>
      <w:tr w14:paraId="12551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32" w:type="dxa"/>
            <w:vAlign w:val="center"/>
          </w:tcPr>
          <w:p w14:paraId="63860C4E">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6"/>
                <w:sz w:val="24"/>
                <w:szCs w:val="24"/>
              </w:rPr>
              <w:t>指标类</w:t>
            </w:r>
            <w:r>
              <w:rPr>
                <w:rFonts w:hint="default" w:ascii="Times New Roman" w:hAnsi="Times New Roman" w:cs="Times New Roman"/>
                <w:sz w:val="24"/>
                <w:szCs w:val="24"/>
              </w:rPr>
              <w:t>型</w:t>
            </w:r>
          </w:p>
        </w:tc>
        <w:tc>
          <w:tcPr>
            <w:tcW w:w="2243" w:type="dxa"/>
            <w:vAlign w:val="center"/>
          </w:tcPr>
          <w:p w14:paraId="71C2F8AB">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4"/>
                <w:sz w:val="24"/>
                <w:szCs w:val="24"/>
              </w:rPr>
              <w:t>指标</w:t>
            </w:r>
          </w:p>
        </w:tc>
        <w:tc>
          <w:tcPr>
            <w:tcW w:w="1473" w:type="dxa"/>
            <w:vAlign w:val="center"/>
          </w:tcPr>
          <w:p w14:paraId="23861B72">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6"/>
                <w:sz w:val="24"/>
                <w:szCs w:val="24"/>
              </w:rPr>
              <w:t>单位</w:t>
            </w:r>
          </w:p>
        </w:tc>
        <w:tc>
          <w:tcPr>
            <w:tcW w:w="1842" w:type="dxa"/>
            <w:vAlign w:val="center"/>
          </w:tcPr>
          <w:p w14:paraId="7BCFF28F">
            <w:pPr>
              <w:spacing w:line="240" w:lineRule="auto"/>
              <w:ind w:left="0" w:right="0" w:firstLine="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2"/>
                <w:sz w:val="24"/>
                <w:szCs w:val="24"/>
                <w:lang w:eastAsia="zh-CN"/>
              </w:rPr>
              <w:t>2024</w:t>
            </w:r>
          </w:p>
        </w:tc>
        <w:tc>
          <w:tcPr>
            <w:tcW w:w="2040" w:type="dxa"/>
            <w:vAlign w:val="center"/>
          </w:tcPr>
          <w:p w14:paraId="5405BC7D">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4"/>
                <w:sz w:val="24"/>
                <w:szCs w:val="24"/>
              </w:rPr>
              <w:t>与</w:t>
            </w:r>
            <w:r>
              <w:rPr>
                <w:rFonts w:hint="default" w:ascii="Times New Roman" w:hAnsi="Times New Roman" w:cs="Times New Roman"/>
                <w:spacing w:val="-55"/>
                <w:sz w:val="24"/>
                <w:szCs w:val="24"/>
              </w:rPr>
              <w:t xml:space="preserve"> </w:t>
            </w:r>
            <w:r>
              <w:rPr>
                <w:rFonts w:hint="default" w:ascii="Times New Roman" w:hAnsi="Times New Roman" w:eastAsia="Times New Roman" w:cs="Times New Roman"/>
                <w:spacing w:val="-4"/>
                <w:sz w:val="24"/>
                <w:szCs w:val="24"/>
              </w:rPr>
              <w:t>202</w:t>
            </w:r>
            <w:r>
              <w:rPr>
                <w:rFonts w:hint="default" w:ascii="Times New Roman" w:hAnsi="Times New Roman" w:eastAsia="宋体" w:cs="Times New Roman"/>
                <w:spacing w:val="-4"/>
                <w:sz w:val="24"/>
                <w:szCs w:val="24"/>
                <w:lang w:val="en-US" w:eastAsia="zh-CN"/>
              </w:rPr>
              <w:t>3</w:t>
            </w:r>
            <w:r>
              <w:rPr>
                <w:rFonts w:hint="default" w:ascii="Times New Roman" w:hAnsi="Times New Roman" w:cs="Times New Roman"/>
                <w:spacing w:val="-4"/>
                <w:sz w:val="24"/>
                <w:szCs w:val="24"/>
              </w:rPr>
              <w:t>年同比</w:t>
            </w:r>
          </w:p>
        </w:tc>
      </w:tr>
      <w:tr w14:paraId="6B803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32" w:type="dxa"/>
            <w:vMerge w:val="restart"/>
            <w:tcBorders>
              <w:bottom w:val="nil"/>
            </w:tcBorders>
            <w:vAlign w:val="center"/>
          </w:tcPr>
          <w:p w14:paraId="1529C299">
            <w:pPr>
              <w:spacing w:line="240" w:lineRule="auto"/>
              <w:ind w:left="0" w:right="0" w:firstLine="0"/>
              <w:jc w:val="center"/>
              <w:rPr>
                <w:rFonts w:hint="default" w:ascii="Times New Roman" w:hAnsi="Times New Roman" w:cs="Times New Roman"/>
                <w:sz w:val="21"/>
              </w:rPr>
            </w:pPr>
          </w:p>
          <w:p w14:paraId="0B2D90E8">
            <w:pPr>
              <w:spacing w:line="240" w:lineRule="auto"/>
              <w:ind w:left="0" w:right="0" w:firstLine="0"/>
              <w:jc w:val="center"/>
              <w:rPr>
                <w:rFonts w:hint="default" w:ascii="Times New Roman" w:hAnsi="Times New Roman" w:cs="Times New Roman"/>
                <w:sz w:val="21"/>
              </w:rPr>
            </w:pPr>
          </w:p>
          <w:p w14:paraId="6699DDB2">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8"/>
                <w:sz w:val="24"/>
                <w:szCs w:val="24"/>
              </w:rPr>
              <w:t>节能减</w:t>
            </w:r>
            <w:r>
              <w:rPr>
                <w:rFonts w:hint="default" w:ascii="Times New Roman" w:hAnsi="Times New Roman" w:cs="Times New Roman"/>
                <w:sz w:val="24"/>
                <w:szCs w:val="24"/>
              </w:rPr>
              <w:t>碳</w:t>
            </w:r>
          </w:p>
        </w:tc>
        <w:tc>
          <w:tcPr>
            <w:tcW w:w="2243" w:type="dxa"/>
            <w:vAlign w:val="center"/>
          </w:tcPr>
          <w:p w14:paraId="2A6CAB0E">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3"/>
                <w:sz w:val="24"/>
                <w:szCs w:val="24"/>
              </w:rPr>
              <w:t>可再生能源利用率</w:t>
            </w:r>
          </w:p>
        </w:tc>
        <w:tc>
          <w:tcPr>
            <w:tcW w:w="1473" w:type="dxa"/>
            <w:vAlign w:val="center"/>
          </w:tcPr>
          <w:p w14:paraId="100651D8">
            <w:pPr>
              <w:spacing w:line="240" w:lineRule="auto"/>
              <w:ind w:left="0" w:right="0" w:firstLine="0"/>
              <w:jc w:val="cente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c>
          <w:tcPr>
            <w:tcW w:w="1842" w:type="dxa"/>
            <w:vAlign w:val="center"/>
          </w:tcPr>
          <w:p w14:paraId="0EB3C5B5">
            <w:pPr>
              <w:spacing w:line="240" w:lineRule="auto"/>
              <w:ind w:left="0" w:right="0" w:firstLine="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23.46</w:t>
            </w:r>
          </w:p>
        </w:tc>
        <w:tc>
          <w:tcPr>
            <w:tcW w:w="2040" w:type="dxa"/>
            <w:vAlign w:val="center"/>
          </w:tcPr>
          <w:p w14:paraId="36A09665">
            <w:pPr>
              <w:spacing w:line="240" w:lineRule="auto"/>
              <w:ind w:left="0" w:right="0" w:firstLine="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6.2%</w:t>
            </w:r>
          </w:p>
        </w:tc>
      </w:tr>
      <w:tr w14:paraId="1A48E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32" w:type="dxa"/>
            <w:vMerge w:val="continue"/>
            <w:tcBorders>
              <w:top w:val="nil"/>
              <w:bottom w:val="nil"/>
            </w:tcBorders>
            <w:vAlign w:val="center"/>
          </w:tcPr>
          <w:p w14:paraId="1AE92A68">
            <w:pPr>
              <w:spacing w:line="240" w:lineRule="auto"/>
              <w:ind w:left="0" w:right="0" w:firstLine="0"/>
              <w:jc w:val="center"/>
              <w:rPr>
                <w:rFonts w:hint="default" w:ascii="Times New Roman" w:hAnsi="Times New Roman" w:cs="Times New Roman"/>
                <w:sz w:val="21"/>
              </w:rPr>
            </w:pPr>
          </w:p>
        </w:tc>
        <w:tc>
          <w:tcPr>
            <w:tcW w:w="2243" w:type="dxa"/>
            <w:vAlign w:val="center"/>
          </w:tcPr>
          <w:p w14:paraId="6581BBDF">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3"/>
                <w:sz w:val="24"/>
                <w:szCs w:val="24"/>
              </w:rPr>
              <w:t>万元产值能耗</w:t>
            </w:r>
          </w:p>
        </w:tc>
        <w:tc>
          <w:tcPr>
            <w:tcW w:w="1473" w:type="dxa"/>
            <w:vAlign w:val="center"/>
          </w:tcPr>
          <w:p w14:paraId="1DE3A4FD">
            <w:pPr>
              <w:spacing w:line="240" w:lineRule="auto"/>
              <w:ind w:left="0" w:right="0" w:firstLine="0"/>
              <w:jc w:val="center"/>
              <w:rPr>
                <w:rFonts w:hint="default" w:ascii="Times New Roman" w:hAnsi="Times New Roman" w:eastAsia="宋体" w:cs="Times New Roman"/>
                <w:sz w:val="22"/>
                <w:szCs w:val="22"/>
              </w:rPr>
            </w:pPr>
            <w:r>
              <w:rPr>
                <w:rFonts w:hint="default" w:ascii="Times New Roman" w:hAnsi="Times New Roman" w:eastAsia="宋体" w:cs="Times New Roman"/>
                <w:spacing w:val="-2"/>
                <w:sz w:val="22"/>
                <w:szCs w:val="22"/>
              </w:rPr>
              <w:t>tce/万元</w:t>
            </w:r>
          </w:p>
        </w:tc>
        <w:tc>
          <w:tcPr>
            <w:tcW w:w="1842" w:type="dxa"/>
            <w:vAlign w:val="center"/>
          </w:tcPr>
          <w:p w14:paraId="72D59ED5">
            <w:pPr>
              <w:spacing w:line="240" w:lineRule="auto"/>
              <w:ind w:left="0" w:right="0" w:firstLine="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0.015</w:t>
            </w:r>
          </w:p>
        </w:tc>
        <w:tc>
          <w:tcPr>
            <w:tcW w:w="2040" w:type="dxa"/>
            <w:vAlign w:val="center"/>
          </w:tcPr>
          <w:p w14:paraId="1803ED97">
            <w:pPr>
              <w:spacing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p>
        </w:tc>
      </w:tr>
      <w:tr w14:paraId="12806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32" w:type="dxa"/>
            <w:vMerge w:val="continue"/>
            <w:tcBorders>
              <w:top w:val="nil"/>
            </w:tcBorders>
            <w:vAlign w:val="center"/>
          </w:tcPr>
          <w:p w14:paraId="4C6492B5">
            <w:pPr>
              <w:spacing w:line="240" w:lineRule="auto"/>
              <w:ind w:left="0" w:right="0" w:firstLine="0"/>
              <w:jc w:val="center"/>
              <w:rPr>
                <w:rFonts w:hint="default" w:ascii="Times New Roman" w:hAnsi="Times New Roman" w:cs="Times New Roman"/>
                <w:sz w:val="21"/>
              </w:rPr>
            </w:pPr>
          </w:p>
        </w:tc>
        <w:tc>
          <w:tcPr>
            <w:tcW w:w="2243" w:type="dxa"/>
            <w:vAlign w:val="center"/>
          </w:tcPr>
          <w:p w14:paraId="7304BCEF">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cs="Times New Roman"/>
                <w:spacing w:val="-3"/>
                <w:sz w:val="24"/>
                <w:szCs w:val="24"/>
              </w:rPr>
              <w:t>增加值碳排放</w:t>
            </w:r>
          </w:p>
        </w:tc>
        <w:tc>
          <w:tcPr>
            <w:tcW w:w="1473" w:type="dxa"/>
            <w:vAlign w:val="center"/>
          </w:tcPr>
          <w:p w14:paraId="073841AE">
            <w:pPr>
              <w:pStyle w:val="6"/>
              <w:spacing w:line="240" w:lineRule="auto"/>
              <w:ind w:left="0" w:right="0" w:firstLine="0"/>
              <w:jc w:val="center"/>
              <w:rPr>
                <w:rFonts w:hint="default" w:ascii="Times New Roman" w:hAnsi="Times New Roman" w:cs="Times New Roman"/>
                <w:sz w:val="24"/>
                <w:szCs w:val="24"/>
              </w:rPr>
            </w:pPr>
            <w:r>
              <w:rPr>
                <w:rFonts w:hint="default" w:ascii="Times New Roman" w:hAnsi="Times New Roman" w:eastAsia="Times New Roman" w:cs="Times New Roman"/>
                <w:sz w:val="24"/>
                <w:szCs w:val="24"/>
              </w:rPr>
              <w:t>t</w:t>
            </w:r>
            <w:r>
              <w:rPr>
                <w:rFonts w:hint="default" w:ascii="Times New Roman" w:hAnsi="Times New Roman" w:eastAsia="Times New Roman" w:cs="Times New Roman"/>
                <w:position w:val="-1"/>
                <w:sz w:val="16"/>
                <w:szCs w:val="16"/>
              </w:rPr>
              <w:t>co2</w:t>
            </w:r>
            <w:r>
              <w:rPr>
                <w:rFonts w:hint="default" w:ascii="Times New Roman" w:hAnsi="Times New Roman" w:eastAsia="Times New Roman" w:cs="Times New Roman"/>
                <w:sz w:val="24"/>
                <w:szCs w:val="24"/>
              </w:rPr>
              <w:t>/</w:t>
            </w:r>
            <w:r>
              <w:rPr>
                <w:rFonts w:hint="default" w:ascii="Times New Roman" w:hAnsi="Times New Roman" w:cs="Times New Roman"/>
                <w:sz w:val="24"/>
                <w:szCs w:val="24"/>
              </w:rPr>
              <w:t>万元</w:t>
            </w:r>
          </w:p>
        </w:tc>
        <w:tc>
          <w:tcPr>
            <w:tcW w:w="1842" w:type="dxa"/>
            <w:vAlign w:val="center"/>
          </w:tcPr>
          <w:p w14:paraId="4219A290">
            <w:pPr>
              <w:spacing w:line="240" w:lineRule="auto"/>
              <w:ind w:left="0" w:right="0" w:firstLine="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0.23</w:t>
            </w:r>
          </w:p>
        </w:tc>
        <w:tc>
          <w:tcPr>
            <w:tcW w:w="2040" w:type="dxa"/>
            <w:vAlign w:val="center"/>
          </w:tcPr>
          <w:p w14:paraId="310333B8">
            <w:pPr>
              <w:spacing w:line="240" w:lineRule="auto"/>
              <w:ind w:left="0" w:right="0" w:firstLine="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p>
        </w:tc>
      </w:tr>
    </w:tbl>
    <w:p w14:paraId="7CD15ACB">
      <w:pPr>
        <w:pStyle w:val="2"/>
        <w:spacing w:line="371" w:lineRule="auto"/>
      </w:pPr>
      <w:bookmarkStart w:id="0" w:name="_GoBack"/>
      <w:bookmarkEnd w:id="0"/>
    </w:p>
    <w:p w14:paraId="02150F98">
      <w:pPr>
        <w:spacing w:before="78" w:line="220" w:lineRule="auto"/>
        <w:ind w:left="1464"/>
        <w:rPr>
          <w:rFonts w:ascii="宋体" w:hAnsi="宋体" w:eastAsia="宋体" w:cs="宋体"/>
          <w:sz w:val="24"/>
          <w:szCs w:val="24"/>
        </w:rPr>
      </w:pPr>
      <w:r>
        <w:rPr>
          <w:rFonts w:ascii="Times New Roman" w:hAnsi="Times New Roman" w:eastAsia="Times New Roman" w:cs="Times New Roman"/>
          <w:spacing w:val="-6"/>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宋体" w:hAnsi="宋体" w:eastAsia="宋体" w:cs="宋体"/>
          <w:b/>
          <w:bCs/>
          <w:spacing w:val="-6"/>
          <w:sz w:val="24"/>
          <w:szCs w:val="24"/>
        </w:rPr>
        <w:t>关爱员工</w:t>
      </w:r>
    </w:p>
    <w:p w14:paraId="64E81664">
      <w:pPr>
        <w:spacing w:before="180" w:line="354" w:lineRule="auto"/>
        <w:ind w:left="990" w:right="158" w:firstLine="432"/>
        <w:rPr>
          <w:rFonts w:ascii="宋体" w:hAnsi="宋体" w:eastAsia="宋体" w:cs="宋体"/>
          <w:sz w:val="24"/>
          <w:szCs w:val="24"/>
        </w:rPr>
      </w:pPr>
      <w:r>
        <w:rPr>
          <w:rFonts w:ascii="宋体" w:hAnsi="宋体" w:eastAsia="宋体" w:cs="宋体"/>
          <w:spacing w:val="-27"/>
          <w:sz w:val="24"/>
          <w:szCs w:val="24"/>
        </w:rPr>
        <w:t>公司严格执行《劳动法》《安全生产法》《职业病防治法》《职业病管理与防护办法》</w:t>
      </w:r>
      <w:r>
        <w:rPr>
          <w:rFonts w:ascii="宋体" w:hAnsi="宋体" w:eastAsia="宋体" w:cs="宋体"/>
          <w:sz w:val="24"/>
          <w:szCs w:val="24"/>
        </w:rPr>
        <w:t xml:space="preserve"> </w:t>
      </w:r>
      <w:r>
        <w:rPr>
          <w:rFonts w:ascii="宋体" w:hAnsi="宋体" w:eastAsia="宋体" w:cs="宋体"/>
          <w:spacing w:val="-25"/>
          <w:w w:val="99"/>
          <w:sz w:val="24"/>
          <w:szCs w:val="24"/>
        </w:rPr>
        <w:t>《工业卫生与职业病管理办法》《劳动保护管理办法》《女工劳动保护管理办法》等劳动、</w:t>
      </w:r>
      <w:r>
        <w:rPr>
          <w:rFonts w:ascii="宋体" w:hAnsi="宋体" w:eastAsia="宋体" w:cs="宋体"/>
          <w:spacing w:val="21"/>
          <w:sz w:val="24"/>
          <w:szCs w:val="24"/>
        </w:rPr>
        <w:t xml:space="preserve"> </w:t>
      </w:r>
      <w:r>
        <w:rPr>
          <w:rFonts w:ascii="宋体" w:hAnsi="宋体" w:eastAsia="宋体" w:cs="宋体"/>
          <w:spacing w:val="-16"/>
          <w:sz w:val="24"/>
          <w:szCs w:val="24"/>
        </w:rPr>
        <w:t>安全生活法律法规，为员工创造健康、安全的工作环境。公司与员工签订劳动合同，准</w:t>
      </w:r>
      <w:r>
        <w:rPr>
          <w:rFonts w:ascii="宋体" w:hAnsi="宋体" w:eastAsia="宋体" w:cs="宋体"/>
          <w:sz w:val="24"/>
          <w:szCs w:val="24"/>
        </w:rPr>
        <w:t xml:space="preserve"> </w:t>
      </w:r>
      <w:r>
        <w:rPr>
          <w:rFonts w:ascii="宋体" w:hAnsi="宋体" w:eastAsia="宋体" w:cs="宋体"/>
          <w:spacing w:val="-4"/>
          <w:sz w:val="24"/>
          <w:szCs w:val="24"/>
        </w:rPr>
        <w:t>时发放工资和缴纳各种保险，定期组织安全生产培训等。公司已通过</w:t>
      </w:r>
      <w:r>
        <w:rPr>
          <w:rFonts w:ascii="Times New Roman" w:hAnsi="Times New Roman" w:eastAsia="Times New Roman" w:cs="Times New Roman"/>
          <w:spacing w:val="-4"/>
          <w:sz w:val="24"/>
          <w:szCs w:val="24"/>
        </w:rPr>
        <w:t>ISO45001</w:t>
      </w:r>
      <w:r>
        <w:rPr>
          <w:rFonts w:ascii="宋体" w:hAnsi="宋体" w:eastAsia="宋体" w:cs="宋体"/>
          <w:spacing w:val="-4"/>
          <w:sz w:val="24"/>
          <w:szCs w:val="24"/>
        </w:rPr>
        <w:t>职业</w:t>
      </w:r>
      <w:r>
        <w:rPr>
          <w:rFonts w:ascii="宋体" w:hAnsi="宋体" w:eastAsia="宋体" w:cs="宋体"/>
          <w:spacing w:val="2"/>
          <w:sz w:val="24"/>
          <w:szCs w:val="24"/>
        </w:rPr>
        <w:t xml:space="preserve"> </w:t>
      </w:r>
      <w:r>
        <w:rPr>
          <w:rFonts w:ascii="宋体" w:hAnsi="宋体" w:eastAsia="宋体" w:cs="宋体"/>
          <w:spacing w:val="-8"/>
          <w:sz w:val="24"/>
          <w:szCs w:val="24"/>
        </w:rPr>
        <w:t>健康安全管理体系认证。</w:t>
      </w:r>
    </w:p>
    <w:p w14:paraId="2158A84C">
      <w:pPr>
        <w:spacing w:before="30" w:line="357" w:lineRule="auto"/>
        <w:ind w:left="989" w:firstLine="479"/>
        <w:jc w:val="both"/>
        <w:rPr>
          <w:rFonts w:ascii="宋体" w:hAnsi="宋体" w:eastAsia="宋体" w:cs="宋体"/>
          <w:sz w:val="24"/>
          <w:szCs w:val="24"/>
        </w:rPr>
      </w:pPr>
      <w:r>
        <w:rPr>
          <w:rFonts w:ascii="宋体" w:hAnsi="宋体" w:eastAsia="宋体" w:cs="宋体"/>
          <w:spacing w:val="-7"/>
          <w:sz w:val="24"/>
          <w:szCs w:val="24"/>
        </w:rPr>
        <w:t>舒适的办公</w:t>
      </w:r>
      <w:r>
        <w:rPr>
          <w:rFonts w:ascii="Times New Roman" w:hAnsi="Times New Roman" w:eastAsia="Times New Roman" w:cs="Times New Roman"/>
          <w:spacing w:val="-7"/>
          <w:sz w:val="24"/>
          <w:szCs w:val="24"/>
        </w:rPr>
        <w:t>/</w:t>
      </w:r>
      <w:r>
        <w:rPr>
          <w:rFonts w:ascii="宋体" w:hAnsi="宋体" w:eastAsia="宋体" w:cs="宋体"/>
          <w:spacing w:val="-7"/>
          <w:sz w:val="24"/>
          <w:szCs w:val="24"/>
        </w:rPr>
        <w:t>生产环境：关爱员工，关注职工健康安全。公司</w:t>
      </w:r>
      <w:r>
        <w:rPr>
          <w:rFonts w:ascii="宋体" w:hAnsi="宋体" w:eastAsia="宋体" w:cs="宋体"/>
          <w:spacing w:val="-8"/>
          <w:sz w:val="24"/>
          <w:szCs w:val="24"/>
        </w:rPr>
        <w:t>重视员工安全工作，</w:t>
      </w:r>
      <w:r>
        <w:rPr>
          <w:rFonts w:ascii="宋体" w:hAnsi="宋体" w:eastAsia="宋体" w:cs="宋体"/>
          <w:sz w:val="24"/>
          <w:szCs w:val="24"/>
        </w:rPr>
        <w:t xml:space="preserve"> </w:t>
      </w:r>
      <w:r>
        <w:rPr>
          <w:rFonts w:ascii="宋体" w:hAnsi="宋体" w:eastAsia="宋体" w:cs="宋体"/>
          <w:spacing w:val="-4"/>
          <w:sz w:val="24"/>
          <w:szCs w:val="24"/>
        </w:rPr>
        <w:t>新入职员工必须安排岗前安全培训，并定期组织公司级、车间级、班组级的三级安</w:t>
      </w:r>
      <w:r>
        <w:rPr>
          <w:rFonts w:ascii="宋体" w:hAnsi="宋体" w:eastAsia="宋体" w:cs="宋体"/>
          <w:spacing w:val="3"/>
          <w:sz w:val="24"/>
          <w:szCs w:val="24"/>
        </w:rPr>
        <w:t xml:space="preserve">  </w:t>
      </w:r>
      <w:r>
        <w:rPr>
          <w:rFonts w:ascii="宋体" w:hAnsi="宋体" w:eastAsia="宋体" w:cs="宋体"/>
          <w:spacing w:val="-4"/>
          <w:sz w:val="24"/>
          <w:szCs w:val="24"/>
        </w:rPr>
        <w:t>全教育培训，确保员工在安全的环境中工作，并具有强烈的安全意识。公司推行清</w:t>
      </w:r>
      <w:r>
        <w:rPr>
          <w:rFonts w:ascii="宋体" w:hAnsi="宋体" w:eastAsia="宋体" w:cs="宋体"/>
          <w:spacing w:val="4"/>
          <w:sz w:val="24"/>
          <w:szCs w:val="24"/>
        </w:rPr>
        <w:t xml:space="preserve">  </w:t>
      </w:r>
      <w:r>
        <w:rPr>
          <w:rFonts w:ascii="宋体" w:hAnsi="宋体" w:eastAsia="宋体" w:cs="宋体"/>
          <w:spacing w:val="-4"/>
          <w:sz w:val="24"/>
          <w:szCs w:val="24"/>
        </w:rPr>
        <w:t>洁生产，为特殊员工提供劳动保护工具，有效降低各种固废对员工身体的直接或者</w:t>
      </w:r>
      <w:r>
        <w:rPr>
          <w:rFonts w:ascii="宋体" w:hAnsi="宋体" w:eastAsia="宋体" w:cs="宋体"/>
          <w:spacing w:val="4"/>
          <w:sz w:val="24"/>
          <w:szCs w:val="24"/>
        </w:rPr>
        <w:t xml:space="preserve">  </w:t>
      </w:r>
      <w:r>
        <w:rPr>
          <w:rFonts w:ascii="宋体" w:hAnsi="宋体" w:eastAsia="宋体" w:cs="宋体"/>
          <w:spacing w:val="-4"/>
          <w:sz w:val="24"/>
          <w:szCs w:val="24"/>
        </w:rPr>
        <w:t>间接伤害，并优化员工工作环境，有效保障职工的健康和安全。公司为职工提供健</w:t>
      </w:r>
      <w:r>
        <w:rPr>
          <w:rFonts w:ascii="宋体" w:hAnsi="宋体" w:eastAsia="宋体" w:cs="宋体"/>
          <w:spacing w:val="3"/>
          <w:sz w:val="24"/>
          <w:szCs w:val="24"/>
        </w:rPr>
        <w:t xml:space="preserve">  </w:t>
      </w:r>
      <w:r>
        <w:rPr>
          <w:rFonts w:ascii="宋体" w:hAnsi="宋体" w:eastAsia="宋体" w:cs="宋体"/>
          <w:spacing w:val="-4"/>
          <w:sz w:val="24"/>
          <w:szCs w:val="24"/>
        </w:rPr>
        <w:t>康、安全的工作环境和生活环境，继续增加在员工食堂和员工宿舍建设的投入，公</w:t>
      </w:r>
      <w:r>
        <w:rPr>
          <w:rFonts w:ascii="宋体" w:hAnsi="宋体" w:eastAsia="宋体" w:cs="宋体"/>
          <w:spacing w:val="4"/>
          <w:sz w:val="24"/>
          <w:szCs w:val="24"/>
        </w:rPr>
        <w:t xml:space="preserve">  </w:t>
      </w:r>
      <w:r>
        <w:rPr>
          <w:rFonts w:ascii="宋体" w:hAnsi="宋体" w:eastAsia="宋体" w:cs="宋体"/>
          <w:spacing w:val="-4"/>
          <w:sz w:val="24"/>
          <w:szCs w:val="24"/>
        </w:rPr>
        <w:t>司给予一定的补贴食堂为每位员工提供午餐和晚餐，保证员工吃的卫生、吃的营养</w:t>
      </w:r>
      <w:r>
        <w:rPr>
          <w:rFonts w:ascii="宋体" w:hAnsi="宋体" w:eastAsia="宋体" w:cs="宋体"/>
          <w:spacing w:val="3"/>
          <w:sz w:val="24"/>
          <w:szCs w:val="24"/>
        </w:rPr>
        <w:t xml:space="preserve">  </w:t>
      </w:r>
      <w:r>
        <w:rPr>
          <w:rFonts w:ascii="宋体" w:hAnsi="宋体" w:eastAsia="宋体" w:cs="宋体"/>
          <w:spacing w:val="-5"/>
          <w:sz w:val="24"/>
          <w:szCs w:val="24"/>
        </w:rPr>
        <w:t>健康。公司致力于改善办公环境，持续引进新型设备，减少员</w:t>
      </w:r>
      <w:r>
        <w:rPr>
          <w:rFonts w:ascii="宋体" w:hAnsi="宋体" w:eastAsia="宋体" w:cs="宋体"/>
          <w:spacing w:val="-6"/>
          <w:sz w:val="24"/>
          <w:szCs w:val="24"/>
        </w:rPr>
        <w:t>工的不安全操作岗位，</w:t>
      </w:r>
      <w:r>
        <w:rPr>
          <w:rFonts w:ascii="宋体" w:hAnsi="宋体" w:eastAsia="宋体" w:cs="宋体"/>
          <w:sz w:val="24"/>
          <w:szCs w:val="24"/>
        </w:rPr>
        <w:t xml:space="preserve"> </w:t>
      </w:r>
      <w:r>
        <w:rPr>
          <w:rFonts w:ascii="宋体" w:hAnsi="宋体" w:eastAsia="宋体" w:cs="宋体"/>
          <w:spacing w:val="3"/>
          <w:sz w:val="24"/>
          <w:szCs w:val="24"/>
        </w:rPr>
        <w:t>并降低车间噪音的危害。公司扩大绿化覆盖面积，</w:t>
      </w:r>
      <w:r>
        <w:rPr>
          <w:rFonts w:ascii="宋体" w:hAnsi="宋体" w:eastAsia="宋体" w:cs="宋体"/>
          <w:spacing w:val="2"/>
          <w:sz w:val="24"/>
          <w:szCs w:val="24"/>
        </w:rPr>
        <w:t>办公区增加绿植种类数量，为</w:t>
      </w:r>
      <w:r>
        <w:rPr>
          <w:rFonts w:ascii="宋体" w:hAnsi="宋体" w:eastAsia="宋体" w:cs="宋体"/>
          <w:sz w:val="24"/>
          <w:szCs w:val="24"/>
        </w:rPr>
        <w:t xml:space="preserve">  </w:t>
      </w:r>
      <w:r>
        <w:rPr>
          <w:rFonts w:ascii="宋体" w:hAnsi="宋体" w:eastAsia="宋体" w:cs="宋体"/>
          <w:spacing w:val="1"/>
          <w:sz w:val="24"/>
          <w:szCs w:val="24"/>
        </w:rPr>
        <w:t>员工营造宜人的环境，也有益于员工的身体健康，同时厂区绿化能够改善小气候，</w:t>
      </w:r>
      <w:r>
        <w:rPr>
          <w:rFonts w:ascii="宋体" w:hAnsi="宋体" w:eastAsia="宋体" w:cs="宋体"/>
          <w:spacing w:val="9"/>
          <w:sz w:val="24"/>
          <w:szCs w:val="24"/>
        </w:rPr>
        <w:t xml:space="preserve"> </w:t>
      </w:r>
      <w:r>
        <w:rPr>
          <w:rFonts w:ascii="宋体" w:hAnsi="宋体" w:eastAsia="宋体" w:cs="宋体"/>
          <w:spacing w:val="-4"/>
          <w:sz w:val="24"/>
          <w:szCs w:val="24"/>
        </w:rPr>
        <w:t>有效防治“三废”污染。公司每年组织员工免费健康体检、关注员工健康，提升职</w:t>
      </w:r>
      <w:r>
        <w:rPr>
          <w:rFonts w:ascii="宋体" w:hAnsi="宋体" w:eastAsia="宋体" w:cs="宋体"/>
          <w:spacing w:val="6"/>
          <w:sz w:val="24"/>
          <w:szCs w:val="24"/>
        </w:rPr>
        <w:t xml:space="preserve">  </w:t>
      </w:r>
      <w:r>
        <w:rPr>
          <w:rFonts w:ascii="宋体" w:hAnsi="宋体" w:eastAsia="宋体" w:cs="宋体"/>
          <w:spacing w:val="-8"/>
          <w:sz w:val="24"/>
          <w:szCs w:val="24"/>
        </w:rPr>
        <w:t>工生活质量水平。</w:t>
      </w:r>
    </w:p>
    <w:p w14:paraId="75442811">
      <w:pPr>
        <w:spacing w:line="357" w:lineRule="auto"/>
        <w:rPr>
          <w:rFonts w:ascii="宋体" w:hAnsi="宋体" w:eastAsia="宋体" w:cs="宋体"/>
          <w:sz w:val="24"/>
          <w:szCs w:val="24"/>
        </w:rPr>
        <w:sectPr>
          <w:headerReference r:id="rId14" w:type="default"/>
          <w:footerReference r:id="rId15" w:type="default"/>
          <w:pgSz w:w="11912" w:h="16841"/>
          <w:pgMar w:top="1074" w:right="1514" w:bottom="1360" w:left="720" w:header="399" w:footer="1200" w:gutter="0"/>
          <w:cols w:space="720" w:num="1"/>
        </w:sectPr>
      </w:pPr>
    </w:p>
    <w:p w14:paraId="6A78A36B">
      <w:pPr>
        <w:pStyle w:val="2"/>
        <w:spacing w:line="290" w:lineRule="auto"/>
      </w:pPr>
    </w:p>
    <w:p w14:paraId="4C25AF23">
      <w:pPr>
        <w:pStyle w:val="2"/>
        <w:spacing w:line="291" w:lineRule="auto"/>
      </w:pPr>
    </w:p>
    <w:p w14:paraId="74ABA878">
      <w:pPr>
        <w:spacing w:before="78" w:line="351" w:lineRule="auto"/>
        <w:ind w:left="991" w:right="214" w:firstLine="469"/>
        <w:jc w:val="both"/>
        <w:rPr>
          <w:rFonts w:ascii="宋体" w:hAnsi="宋体" w:eastAsia="宋体" w:cs="宋体"/>
          <w:sz w:val="24"/>
          <w:szCs w:val="24"/>
        </w:rPr>
      </w:pPr>
      <w:r>
        <w:rPr>
          <w:rFonts w:ascii="宋体" w:hAnsi="宋体" w:eastAsia="宋体" w:cs="宋体"/>
          <w:spacing w:val="-4"/>
          <w:sz w:val="24"/>
          <w:szCs w:val="24"/>
        </w:rPr>
        <w:t>公司通过设立内部论坛、投诉处理热线、总经理信箱、合理化建议等多种方式</w:t>
      </w:r>
      <w:r>
        <w:rPr>
          <w:rFonts w:ascii="宋体" w:hAnsi="宋体" w:eastAsia="宋体" w:cs="宋体"/>
          <w:spacing w:val="11"/>
          <w:sz w:val="24"/>
          <w:szCs w:val="24"/>
        </w:rPr>
        <w:t xml:space="preserve"> </w:t>
      </w:r>
      <w:r>
        <w:rPr>
          <w:rFonts w:ascii="宋体" w:hAnsi="宋体" w:eastAsia="宋体" w:cs="宋体"/>
          <w:spacing w:val="-4"/>
          <w:sz w:val="24"/>
          <w:szCs w:val="24"/>
        </w:rPr>
        <w:t>了解员工的工作、生活情况，听取员工意见及建议，为职工排忧解难，保护职工的</w:t>
      </w:r>
      <w:r>
        <w:rPr>
          <w:rFonts w:ascii="宋体" w:hAnsi="宋体" w:eastAsia="宋体" w:cs="宋体"/>
          <w:spacing w:val="8"/>
          <w:sz w:val="24"/>
          <w:szCs w:val="24"/>
        </w:rPr>
        <w:t xml:space="preserve"> </w:t>
      </w:r>
      <w:r>
        <w:rPr>
          <w:rFonts w:ascii="宋体" w:hAnsi="宋体" w:eastAsia="宋体" w:cs="宋体"/>
          <w:spacing w:val="-13"/>
          <w:sz w:val="24"/>
          <w:szCs w:val="24"/>
        </w:rPr>
        <w:t>利益。</w:t>
      </w:r>
    </w:p>
    <w:p w14:paraId="692B8EDF">
      <w:pPr>
        <w:spacing w:before="29" w:line="355" w:lineRule="auto"/>
        <w:ind w:left="989" w:right="211" w:firstLine="464"/>
        <w:jc w:val="both"/>
        <w:rPr>
          <w:rFonts w:ascii="宋体" w:hAnsi="宋体" w:eastAsia="宋体" w:cs="宋体"/>
          <w:sz w:val="24"/>
          <w:szCs w:val="24"/>
        </w:rPr>
      </w:pPr>
      <w:r>
        <w:rPr>
          <w:rFonts w:ascii="宋体" w:hAnsi="宋体" w:eastAsia="宋体" w:cs="宋体"/>
          <w:spacing w:val="-4"/>
          <w:sz w:val="24"/>
          <w:szCs w:val="24"/>
        </w:rPr>
        <w:t>积极开展文化活动，丰富员工文娱生活。公司用一层楼来作为员工的休闲娱乐</w:t>
      </w:r>
      <w:r>
        <w:rPr>
          <w:rFonts w:ascii="宋体" w:hAnsi="宋体" w:eastAsia="宋体" w:cs="宋体"/>
          <w:spacing w:val="18"/>
          <w:sz w:val="24"/>
          <w:szCs w:val="24"/>
        </w:rPr>
        <w:t xml:space="preserve"> </w:t>
      </w:r>
      <w:r>
        <w:rPr>
          <w:rFonts w:ascii="宋体" w:hAnsi="宋体" w:eastAsia="宋体" w:cs="宋体"/>
          <w:spacing w:val="-4"/>
          <w:sz w:val="24"/>
          <w:szCs w:val="24"/>
        </w:rPr>
        <w:t>场地，场地充足，设施齐全。娱乐项目有乒乓球、羽毛球、台球、健身器材等，厂</w:t>
      </w:r>
      <w:r>
        <w:rPr>
          <w:rFonts w:ascii="宋体" w:hAnsi="宋体" w:eastAsia="宋体" w:cs="宋体"/>
          <w:spacing w:val="9"/>
          <w:sz w:val="24"/>
          <w:szCs w:val="24"/>
        </w:rPr>
        <w:t xml:space="preserve"> </w:t>
      </w:r>
      <w:r>
        <w:rPr>
          <w:rFonts w:ascii="宋体" w:hAnsi="宋体" w:eastAsia="宋体" w:cs="宋体"/>
          <w:spacing w:val="-4"/>
          <w:sz w:val="24"/>
          <w:szCs w:val="24"/>
        </w:rPr>
        <w:t>区还有篮球场，定期参加兄弟单位的联谊比赛。公司为激发员工的竞争意识和团队</w:t>
      </w:r>
      <w:r>
        <w:rPr>
          <w:rFonts w:ascii="宋体" w:hAnsi="宋体" w:eastAsia="宋体" w:cs="宋体"/>
          <w:spacing w:val="10"/>
          <w:sz w:val="24"/>
          <w:szCs w:val="24"/>
        </w:rPr>
        <w:t xml:space="preserve"> </w:t>
      </w:r>
      <w:r>
        <w:rPr>
          <w:rFonts w:ascii="宋体" w:hAnsi="宋体" w:eastAsia="宋体" w:cs="宋体"/>
          <w:spacing w:val="-3"/>
          <w:sz w:val="24"/>
          <w:szCs w:val="24"/>
        </w:rPr>
        <w:t>协作能力，组织篮球赛、拔河比赛等挑战赛，营造</w:t>
      </w:r>
      <w:r>
        <w:rPr>
          <w:rFonts w:ascii="Times New Roman" w:hAnsi="Times New Roman" w:eastAsia="Times New Roman" w:cs="Times New Roman"/>
          <w:spacing w:val="-3"/>
          <w:sz w:val="24"/>
          <w:szCs w:val="24"/>
        </w:rPr>
        <w:t>“</w:t>
      </w:r>
      <w:r>
        <w:rPr>
          <w:rFonts w:ascii="宋体" w:hAnsi="宋体" w:eastAsia="宋体" w:cs="宋体"/>
          <w:spacing w:val="-3"/>
          <w:sz w:val="24"/>
          <w:szCs w:val="24"/>
        </w:rPr>
        <w:t>多读书、读好书、读书好</w:t>
      </w:r>
      <w:r>
        <w:rPr>
          <w:rFonts w:ascii="Times New Roman" w:hAnsi="Times New Roman" w:eastAsia="Times New Roman" w:cs="Times New Roman"/>
          <w:spacing w:val="-3"/>
          <w:sz w:val="24"/>
          <w:szCs w:val="24"/>
        </w:rPr>
        <w:t>”</w:t>
      </w:r>
      <w:r>
        <w:rPr>
          <w:rFonts w:ascii="宋体" w:hAnsi="宋体" w:eastAsia="宋体" w:cs="宋体"/>
          <w:spacing w:val="-3"/>
          <w:sz w:val="24"/>
          <w:szCs w:val="24"/>
        </w:rPr>
        <w:t>的良</w:t>
      </w:r>
      <w:r>
        <w:rPr>
          <w:rFonts w:ascii="宋体" w:hAnsi="宋体" w:eastAsia="宋体" w:cs="宋体"/>
          <w:spacing w:val="7"/>
          <w:sz w:val="24"/>
          <w:szCs w:val="24"/>
        </w:rPr>
        <w:t xml:space="preserve"> </w:t>
      </w:r>
      <w:r>
        <w:rPr>
          <w:rFonts w:ascii="宋体" w:hAnsi="宋体" w:eastAsia="宋体" w:cs="宋体"/>
          <w:spacing w:val="-3"/>
          <w:sz w:val="24"/>
          <w:szCs w:val="24"/>
        </w:rPr>
        <w:t>好氛围，公司实行</w:t>
      </w:r>
      <w:r>
        <w:rPr>
          <w:rFonts w:ascii="Times New Roman" w:hAnsi="Times New Roman" w:eastAsia="Times New Roman" w:cs="Times New Roman"/>
          <w:spacing w:val="-3"/>
          <w:sz w:val="24"/>
          <w:szCs w:val="24"/>
        </w:rPr>
        <w:t>“</w:t>
      </w:r>
      <w:r>
        <w:rPr>
          <w:rFonts w:ascii="宋体" w:hAnsi="宋体" w:eastAsia="宋体" w:cs="宋体"/>
          <w:spacing w:val="-3"/>
          <w:sz w:val="24"/>
          <w:szCs w:val="24"/>
        </w:rPr>
        <w:t>读书会</w:t>
      </w:r>
      <w:r>
        <w:rPr>
          <w:rFonts w:ascii="Times New Roman" w:hAnsi="Times New Roman" w:eastAsia="Times New Roman" w:cs="Times New Roman"/>
          <w:spacing w:val="-3"/>
          <w:sz w:val="24"/>
          <w:szCs w:val="24"/>
        </w:rPr>
        <w:t>”</w:t>
      </w:r>
      <w:r>
        <w:rPr>
          <w:rFonts w:ascii="宋体" w:hAnsi="宋体" w:eastAsia="宋体" w:cs="宋体"/>
          <w:spacing w:val="-3"/>
          <w:sz w:val="24"/>
          <w:szCs w:val="24"/>
        </w:rPr>
        <w:t>活动等，丰富职工精神文化生活，增强团队凝聚力，进</w:t>
      </w:r>
      <w:r>
        <w:rPr>
          <w:rFonts w:ascii="宋体" w:hAnsi="宋体" w:eastAsia="宋体" w:cs="宋体"/>
          <w:spacing w:val="6"/>
          <w:sz w:val="24"/>
          <w:szCs w:val="24"/>
        </w:rPr>
        <w:t xml:space="preserve"> </w:t>
      </w:r>
      <w:r>
        <w:rPr>
          <w:rFonts w:ascii="宋体" w:hAnsi="宋体" w:eastAsia="宋体" w:cs="宋体"/>
          <w:spacing w:val="-8"/>
          <w:sz w:val="24"/>
          <w:szCs w:val="24"/>
        </w:rPr>
        <w:t>一步促进了和谐企业的建设。</w:t>
      </w:r>
    </w:p>
    <w:p w14:paraId="0752E68F">
      <w:pPr>
        <w:spacing w:before="35" w:line="345" w:lineRule="auto"/>
        <w:ind w:left="994" w:right="227" w:firstLine="469"/>
        <w:rPr>
          <w:rFonts w:ascii="宋体" w:hAnsi="宋体" w:eastAsia="宋体" w:cs="宋体"/>
          <w:sz w:val="24"/>
          <w:szCs w:val="24"/>
        </w:rPr>
      </w:pPr>
      <w:r>
        <w:rPr>
          <w:rFonts w:ascii="宋体" w:hAnsi="宋体" w:eastAsia="宋体" w:cs="宋体"/>
          <w:spacing w:val="3"/>
          <w:sz w:val="24"/>
          <w:szCs w:val="24"/>
        </w:rPr>
        <w:t>佳尔灵为员工过上有品质的生活倾注很多心血和财力，而且这种信念将一直</w:t>
      </w:r>
      <w:r>
        <w:rPr>
          <w:rFonts w:ascii="宋体" w:hAnsi="宋体" w:eastAsia="宋体" w:cs="宋体"/>
          <w:sz w:val="24"/>
          <w:szCs w:val="24"/>
        </w:rPr>
        <w:t xml:space="preserve"> </w:t>
      </w:r>
      <w:r>
        <w:rPr>
          <w:rFonts w:ascii="宋体" w:hAnsi="宋体" w:eastAsia="宋体" w:cs="宋体"/>
          <w:spacing w:val="-10"/>
          <w:sz w:val="24"/>
          <w:szCs w:val="24"/>
        </w:rPr>
        <w:t>坚持下去。</w:t>
      </w:r>
    </w:p>
    <w:p w14:paraId="5EBEE05C">
      <w:pPr>
        <w:spacing w:before="36" w:line="219" w:lineRule="auto"/>
        <w:ind w:left="1472"/>
        <w:rPr>
          <w:rFonts w:ascii="宋体" w:hAnsi="宋体" w:eastAsia="宋体" w:cs="宋体"/>
          <w:sz w:val="24"/>
          <w:szCs w:val="24"/>
        </w:rPr>
      </w:pPr>
      <w:r>
        <w:rPr>
          <w:rFonts w:ascii="Times New Roman" w:hAnsi="Times New Roman" w:eastAsia="Times New Roman" w:cs="Times New Roman"/>
          <w:spacing w:val="-8"/>
          <w:sz w:val="24"/>
          <w:szCs w:val="24"/>
        </w:rPr>
        <w:t>5</w:t>
      </w:r>
      <w:r>
        <w:rPr>
          <w:rFonts w:ascii="Times New Roman" w:hAnsi="Times New Roman" w:eastAsia="Times New Roman" w:cs="Times New Roman"/>
          <w:spacing w:val="-31"/>
          <w:sz w:val="24"/>
          <w:szCs w:val="24"/>
        </w:rPr>
        <w:t xml:space="preserve"> </w:t>
      </w:r>
      <w:r>
        <w:rPr>
          <w:rFonts w:ascii="宋体" w:hAnsi="宋体" w:eastAsia="宋体" w:cs="宋体"/>
          <w:spacing w:val="-8"/>
          <w:sz w:val="24"/>
          <w:szCs w:val="24"/>
        </w:rPr>
        <w:t>、</w:t>
      </w:r>
      <w:r>
        <w:rPr>
          <w:rFonts w:ascii="宋体" w:hAnsi="宋体" w:eastAsia="宋体" w:cs="宋体"/>
          <w:b/>
          <w:bCs/>
          <w:spacing w:val="-8"/>
          <w:sz w:val="24"/>
          <w:szCs w:val="24"/>
        </w:rPr>
        <w:t>回馈社会</w:t>
      </w:r>
    </w:p>
    <w:p w14:paraId="33E77DDC">
      <w:pPr>
        <w:spacing w:before="182" w:line="350" w:lineRule="auto"/>
        <w:ind w:left="992" w:right="214" w:firstLine="464"/>
        <w:rPr>
          <w:rFonts w:ascii="宋体" w:hAnsi="宋体" w:eastAsia="宋体" w:cs="宋体"/>
          <w:sz w:val="24"/>
          <w:szCs w:val="24"/>
        </w:rPr>
      </w:pPr>
      <w:r>
        <w:rPr>
          <w:rFonts w:ascii="宋体" w:hAnsi="宋体" w:eastAsia="宋体" w:cs="宋体"/>
          <w:spacing w:val="-4"/>
          <w:sz w:val="24"/>
          <w:szCs w:val="24"/>
        </w:rPr>
        <w:t>持续参与慈善事业，积极投身公益活动。佳尔灵以政府部门、教育</w:t>
      </w:r>
      <w:r>
        <w:rPr>
          <w:rFonts w:ascii="宋体" w:hAnsi="宋体" w:eastAsia="宋体" w:cs="宋体"/>
          <w:spacing w:val="-5"/>
          <w:sz w:val="24"/>
          <w:szCs w:val="24"/>
        </w:rPr>
        <w:t>组织、社区</w:t>
      </w:r>
      <w:r>
        <w:rPr>
          <w:rFonts w:ascii="宋体" w:hAnsi="宋体" w:eastAsia="宋体" w:cs="宋体"/>
          <w:sz w:val="24"/>
          <w:szCs w:val="24"/>
        </w:rPr>
        <w:t xml:space="preserve"> </w:t>
      </w:r>
      <w:r>
        <w:rPr>
          <w:rFonts w:ascii="宋体" w:hAnsi="宋体" w:eastAsia="宋体" w:cs="宋体"/>
          <w:spacing w:val="-4"/>
          <w:sz w:val="24"/>
          <w:szCs w:val="24"/>
        </w:rPr>
        <w:t>为参与慈善事业的主要载体。以捐赠教育事业、援助困难员工及社会弱势群体、慈</w:t>
      </w:r>
      <w:r>
        <w:rPr>
          <w:rFonts w:ascii="宋体" w:hAnsi="宋体" w:eastAsia="宋体" w:cs="宋体"/>
          <w:spacing w:val="7"/>
          <w:sz w:val="24"/>
          <w:szCs w:val="24"/>
        </w:rPr>
        <w:t xml:space="preserve"> </w:t>
      </w:r>
      <w:r>
        <w:rPr>
          <w:rFonts w:ascii="宋体" w:hAnsi="宋体" w:eastAsia="宋体" w:cs="宋体"/>
          <w:spacing w:val="-8"/>
          <w:sz w:val="24"/>
          <w:szCs w:val="24"/>
        </w:rPr>
        <w:t>善一日捐、扶贫、献爱心为参与慈善事业的主要方式。</w:t>
      </w:r>
    </w:p>
    <w:p w14:paraId="30659167">
      <w:pPr>
        <w:spacing w:before="224" w:line="224" w:lineRule="auto"/>
        <w:ind w:left="1117"/>
        <w:rPr>
          <w:rFonts w:ascii="黑体" w:hAnsi="黑体" w:eastAsia="黑体" w:cs="黑体"/>
          <w:sz w:val="31"/>
          <w:szCs w:val="31"/>
        </w:rPr>
      </w:pPr>
      <w:r>
        <w:rPr>
          <w:rFonts w:ascii="黑体" w:hAnsi="黑体" w:eastAsia="黑体" w:cs="黑体"/>
          <w:b/>
          <w:bCs/>
          <w:spacing w:val="62"/>
          <w:sz w:val="31"/>
          <w:szCs w:val="31"/>
        </w:rPr>
        <w:t>责任绩效</w:t>
      </w:r>
    </w:p>
    <w:p w14:paraId="358F3E94">
      <w:pPr>
        <w:spacing w:before="280" w:line="225" w:lineRule="auto"/>
        <w:ind w:left="1006"/>
        <w:outlineLvl w:val="0"/>
        <w:rPr>
          <w:rFonts w:ascii="宋体" w:hAnsi="宋体" w:eastAsia="宋体" w:cs="宋体"/>
          <w:sz w:val="31"/>
          <w:szCs w:val="31"/>
        </w:rPr>
      </w:pPr>
      <w:r>
        <w:rPr>
          <w:rFonts w:ascii="宋体" w:hAnsi="宋体" w:eastAsia="宋体" w:cs="宋体"/>
          <w:spacing w:val="4"/>
          <w:sz w:val="31"/>
          <w:szCs w:val="31"/>
        </w:rPr>
        <w:t>（一）诚信守法</w:t>
      </w:r>
    </w:p>
    <w:p w14:paraId="216BE1F1">
      <w:pPr>
        <w:spacing w:before="291" w:line="353" w:lineRule="auto"/>
        <w:ind w:left="989" w:firstLine="488"/>
        <w:jc w:val="both"/>
        <w:rPr>
          <w:rFonts w:ascii="宋体" w:hAnsi="宋体" w:eastAsia="宋体" w:cs="宋体"/>
          <w:sz w:val="24"/>
          <w:szCs w:val="24"/>
        </w:rPr>
      </w:pPr>
      <w:r>
        <w:rPr>
          <w:rFonts w:ascii="宋体" w:hAnsi="宋体" w:eastAsia="宋体" w:cs="宋体"/>
          <w:spacing w:val="2"/>
          <w:sz w:val="24"/>
          <w:szCs w:val="24"/>
        </w:rPr>
        <w:t>公司高层领导遵循“依法经营、诚信经营”的管理理念，严格遵循《公司法》</w:t>
      </w:r>
      <w:r>
        <w:rPr>
          <w:rFonts w:ascii="宋体" w:hAnsi="宋体" w:eastAsia="宋体" w:cs="宋体"/>
          <w:spacing w:val="4"/>
          <w:sz w:val="24"/>
          <w:szCs w:val="24"/>
        </w:rPr>
        <w:t xml:space="preserve"> </w:t>
      </w:r>
      <w:r>
        <w:rPr>
          <w:rFonts w:ascii="宋体" w:hAnsi="宋体" w:eastAsia="宋体" w:cs="宋体"/>
          <w:spacing w:val="2"/>
          <w:sz w:val="24"/>
          <w:szCs w:val="24"/>
        </w:rPr>
        <w:t>《经济法》《合同法》《产品质量法》《安全生产法》《环保法》《劳动法》以</w:t>
      </w:r>
      <w:r>
        <w:rPr>
          <w:rFonts w:ascii="宋体" w:hAnsi="宋体" w:eastAsia="宋体" w:cs="宋体"/>
          <w:spacing w:val="5"/>
          <w:sz w:val="24"/>
          <w:szCs w:val="24"/>
        </w:rPr>
        <w:t xml:space="preserve">   </w:t>
      </w:r>
      <w:r>
        <w:rPr>
          <w:rFonts w:ascii="宋体" w:hAnsi="宋体" w:eastAsia="宋体" w:cs="宋体"/>
          <w:spacing w:val="2"/>
          <w:sz w:val="24"/>
          <w:szCs w:val="24"/>
        </w:rPr>
        <w:t>及行业的相关法律法规，依法经营，诚实守信，努力构建诚信体系，进而完善以</w:t>
      </w:r>
      <w:r>
        <w:rPr>
          <w:rFonts w:ascii="宋体" w:hAnsi="宋体" w:eastAsia="宋体" w:cs="宋体"/>
          <w:spacing w:val="5"/>
          <w:sz w:val="24"/>
          <w:szCs w:val="24"/>
        </w:rPr>
        <w:t xml:space="preserve">   </w:t>
      </w:r>
      <w:r>
        <w:rPr>
          <w:rFonts w:ascii="宋体" w:hAnsi="宋体" w:eastAsia="宋体" w:cs="宋体"/>
          <w:spacing w:val="-4"/>
          <w:sz w:val="24"/>
          <w:szCs w:val="24"/>
        </w:rPr>
        <w:t>诚信为基础的道德规范体系。</w:t>
      </w:r>
    </w:p>
    <w:p w14:paraId="015FE302">
      <w:pPr>
        <w:spacing w:before="32" w:line="354" w:lineRule="auto"/>
        <w:ind w:left="992" w:right="232" w:firstLine="485"/>
        <w:rPr>
          <w:rFonts w:ascii="宋体" w:hAnsi="宋体" w:eastAsia="宋体" w:cs="宋体"/>
          <w:sz w:val="24"/>
          <w:szCs w:val="24"/>
        </w:rPr>
      </w:pPr>
      <w:r>
        <w:rPr>
          <w:rFonts w:ascii="宋体" w:hAnsi="宋体" w:eastAsia="宋体" w:cs="宋体"/>
          <w:spacing w:val="2"/>
          <w:sz w:val="24"/>
          <w:szCs w:val="24"/>
        </w:rPr>
        <w:t>公司加强员工法律知识培训，配合政府部门开展普法教育活动，鼓励表彰员</w:t>
      </w:r>
      <w:r>
        <w:rPr>
          <w:rFonts w:ascii="宋体" w:hAnsi="宋体" w:eastAsia="宋体" w:cs="宋体"/>
          <w:spacing w:val="14"/>
          <w:sz w:val="24"/>
          <w:szCs w:val="24"/>
        </w:rPr>
        <w:t xml:space="preserve"> </w:t>
      </w:r>
      <w:r>
        <w:rPr>
          <w:rFonts w:ascii="宋体" w:hAnsi="宋体" w:eastAsia="宋体" w:cs="宋体"/>
          <w:spacing w:val="2"/>
          <w:sz w:val="24"/>
          <w:szCs w:val="24"/>
        </w:rPr>
        <w:t>工的“正能量”，使诚信守法的作风深入公司全体员工的意识和行为。公司合同</w:t>
      </w:r>
      <w:r>
        <w:rPr>
          <w:rFonts w:ascii="宋体" w:hAnsi="宋体" w:eastAsia="宋体" w:cs="宋体"/>
          <w:spacing w:val="12"/>
          <w:sz w:val="24"/>
          <w:szCs w:val="24"/>
        </w:rPr>
        <w:t xml:space="preserve"> </w:t>
      </w:r>
      <w:r>
        <w:rPr>
          <w:rFonts w:ascii="宋体" w:hAnsi="宋体" w:eastAsia="宋体" w:cs="宋体"/>
          <w:spacing w:val="1"/>
          <w:sz w:val="24"/>
          <w:szCs w:val="24"/>
        </w:rPr>
        <w:t>主动违约率为零，从不拖欠银行贷款，逾期应收账款降至合理范围，公司高层、</w:t>
      </w:r>
      <w:r>
        <w:rPr>
          <w:rFonts w:ascii="宋体" w:hAnsi="宋体" w:eastAsia="宋体" w:cs="宋体"/>
          <w:spacing w:val="12"/>
          <w:sz w:val="24"/>
          <w:szCs w:val="24"/>
        </w:rPr>
        <w:t xml:space="preserve"> </w:t>
      </w:r>
      <w:r>
        <w:rPr>
          <w:rFonts w:ascii="宋体" w:hAnsi="宋体" w:eastAsia="宋体" w:cs="宋体"/>
          <w:spacing w:val="2"/>
          <w:sz w:val="24"/>
          <w:szCs w:val="24"/>
        </w:rPr>
        <w:t>中层领导都没有违法乱纪记录，员工违法次数为零，在顾客、用户、公众、社会</w:t>
      </w:r>
      <w:r>
        <w:rPr>
          <w:rFonts w:ascii="宋体" w:hAnsi="宋体" w:eastAsia="宋体" w:cs="宋体"/>
          <w:spacing w:val="12"/>
          <w:sz w:val="24"/>
          <w:szCs w:val="24"/>
        </w:rPr>
        <w:t xml:space="preserve"> </w:t>
      </w:r>
      <w:r>
        <w:rPr>
          <w:rFonts w:ascii="宋体" w:hAnsi="宋体" w:eastAsia="宋体" w:cs="宋体"/>
          <w:spacing w:val="-4"/>
          <w:sz w:val="24"/>
          <w:szCs w:val="24"/>
        </w:rPr>
        <w:t>中树立了良好的信用道德形象。</w:t>
      </w:r>
    </w:p>
    <w:p w14:paraId="7B67484D">
      <w:pPr>
        <w:spacing w:before="35" w:line="219" w:lineRule="auto"/>
        <w:ind w:left="1477"/>
        <w:rPr>
          <w:rFonts w:ascii="宋体" w:hAnsi="宋体" w:eastAsia="宋体" w:cs="宋体"/>
          <w:sz w:val="24"/>
          <w:szCs w:val="24"/>
        </w:rPr>
      </w:pPr>
      <w:r>
        <w:rPr>
          <w:rFonts w:ascii="宋体" w:hAnsi="宋体" w:eastAsia="宋体" w:cs="宋体"/>
          <w:spacing w:val="2"/>
          <w:sz w:val="24"/>
          <w:szCs w:val="24"/>
        </w:rPr>
        <w:t>公司还结合各相关方的利益需求，采用自查、社会公众及其他相关方监督、</w:t>
      </w:r>
    </w:p>
    <w:p w14:paraId="7F8DABD8">
      <w:pPr>
        <w:spacing w:line="219" w:lineRule="auto"/>
        <w:rPr>
          <w:rFonts w:ascii="宋体" w:hAnsi="宋体" w:eastAsia="宋体" w:cs="宋体"/>
          <w:sz w:val="24"/>
          <w:szCs w:val="24"/>
        </w:rPr>
        <w:sectPr>
          <w:headerReference r:id="rId16" w:type="default"/>
          <w:footerReference r:id="rId17" w:type="default"/>
          <w:pgSz w:w="11912" w:h="16841"/>
          <w:pgMar w:top="1074" w:right="1478" w:bottom="1358" w:left="720" w:header="399" w:footer="1200" w:gutter="0"/>
          <w:cols w:space="720" w:num="1"/>
        </w:sectPr>
      </w:pPr>
    </w:p>
    <w:p w14:paraId="05CCF9AC">
      <w:pPr>
        <w:pStyle w:val="2"/>
        <w:spacing w:line="291" w:lineRule="auto"/>
      </w:pPr>
    </w:p>
    <w:p w14:paraId="5AC6BCA5">
      <w:pPr>
        <w:pStyle w:val="2"/>
        <w:spacing w:line="291" w:lineRule="auto"/>
      </w:pPr>
    </w:p>
    <w:p w14:paraId="33F3B46E">
      <w:pPr>
        <w:spacing w:before="78" w:line="350" w:lineRule="auto"/>
        <w:ind w:left="990" w:right="732"/>
        <w:rPr>
          <w:rFonts w:ascii="宋体" w:hAnsi="宋体" w:eastAsia="宋体" w:cs="宋体"/>
          <w:sz w:val="24"/>
          <w:szCs w:val="24"/>
        </w:rPr>
      </w:pPr>
      <w:r>
        <w:rPr>
          <w:rFonts w:ascii="宋体" w:hAnsi="宋体" w:eastAsia="宋体" w:cs="宋体"/>
          <w:spacing w:val="1"/>
          <w:sz w:val="24"/>
          <w:szCs w:val="24"/>
        </w:rPr>
        <w:t>第三方测量相结合的方法，量化绩效指标，全面评价并促进组织内部及与顾客、</w:t>
      </w:r>
      <w:r>
        <w:rPr>
          <w:rFonts w:ascii="宋体" w:hAnsi="宋体" w:eastAsia="宋体" w:cs="宋体"/>
          <w:spacing w:val="14"/>
          <w:sz w:val="24"/>
          <w:szCs w:val="24"/>
        </w:rPr>
        <w:t xml:space="preserve"> </w:t>
      </w:r>
      <w:r>
        <w:rPr>
          <w:rFonts w:ascii="宋体" w:hAnsi="宋体" w:eastAsia="宋体" w:cs="宋体"/>
          <w:spacing w:val="2"/>
          <w:sz w:val="24"/>
          <w:szCs w:val="24"/>
        </w:rPr>
        <w:t>供方和合作伙伴之间、公司治理中的诚信和道德行为，确保合同双方权益不受损</w:t>
      </w:r>
      <w:r>
        <w:rPr>
          <w:rFonts w:ascii="宋体" w:hAnsi="宋体" w:eastAsia="宋体" w:cs="宋体"/>
          <w:spacing w:val="14"/>
          <w:sz w:val="24"/>
          <w:szCs w:val="24"/>
        </w:rPr>
        <w:t xml:space="preserve"> </w:t>
      </w:r>
      <w:r>
        <w:rPr>
          <w:rFonts w:ascii="宋体" w:hAnsi="宋体" w:eastAsia="宋体" w:cs="宋体"/>
          <w:spacing w:val="-10"/>
          <w:sz w:val="24"/>
          <w:szCs w:val="24"/>
        </w:rPr>
        <w:t>害等。</w:t>
      </w:r>
    </w:p>
    <w:p w14:paraId="390E5AF9">
      <w:pPr>
        <w:spacing w:before="284" w:line="226" w:lineRule="auto"/>
        <w:ind w:left="1006"/>
        <w:outlineLvl w:val="0"/>
        <w:rPr>
          <w:rFonts w:ascii="宋体" w:hAnsi="宋体" w:eastAsia="宋体" w:cs="宋体"/>
          <w:sz w:val="31"/>
          <w:szCs w:val="31"/>
        </w:rPr>
      </w:pPr>
      <w:r>
        <w:rPr>
          <w:rFonts w:ascii="宋体" w:hAnsi="宋体" w:eastAsia="宋体" w:cs="宋体"/>
          <w:spacing w:val="3"/>
          <w:sz w:val="31"/>
          <w:szCs w:val="31"/>
        </w:rPr>
        <w:t>（二）质量安全</w:t>
      </w:r>
    </w:p>
    <w:p w14:paraId="59093D57">
      <w:pPr>
        <w:spacing w:before="289" w:line="344" w:lineRule="auto"/>
        <w:ind w:left="990" w:right="717" w:firstLine="497"/>
        <w:rPr>
          <w:rFonts w:ascii="宋体" w:hAnsi="宋体" w:eastAsia="宋体" w:cs="宋体"/>
          <w:sz w:val="24"/>
          <w:szCs w:val="24"/>
        </w:rPr>
      </w:pPr>
      <w:r>
        <w:rPr>
          <w:rFonts w:ascii="宋体" w:hAnsi="宋体" w:eastAsia="宋体" w:cs="宋体"/>
          <w:spacing w:val="6"/>
          <w:sz w:val="24"/>
          <w:szCs w:val="24"/>
        </w:rPr>
        <w:t>1、本公司建立了总经理领导下的质量管理体系，建立了一支业务精、技术</w:t>
      </w:r>
      <w:r>
        <w:rPr>
          <w:rFonts w:ascii="宋体" w:hAnsi="宋体" w:eastAsia="宋体" w:cs="宋体"/>
          <w:spacing w:val="4"/>
          <w:sz w:val="24"/>
          <w:szCs w:val="24"/>
        </w:rPr>
        <w:t xml:space="preserve"> </w:t>
      </w:r>
      <w:r>
        <w:rPr>
          <w:rFonts w:ascii="宋体" w:hAnsi="宋体" w:eastAsia="宋体" w:cs="宋体"/>
          <w:spacing w:val="2"/>
          <w:sz w:val="24"/>
          <w:szCs w:val="24"/>
        </w:rPr>
        <w:t>好、责任陸强的质量检验和管理队伍，始终把好“三关”：一是把好原料关。原</w:t>
      </w:r>
      <w:r>
        <w:rPr>
          <w:rFonts w:ascii="宋体" w:hAnsi="宋体" w:eastAsia="宋体" w:cs="宋体"/>
          <w:spacing w:val="14"/>
          <w:sz w:val="24"/>
          <w:szCs w:val="24"/>
        </w:rPr>
        <w:t xml:space="preserve"> </w:t>
      </w:r>
      <w:r>
        <w:rPr>
          <w:rFonts w:ascii="宋体" w:hAnsi="宋体" w:eastAsia="宋体" w:cs="宋体"/>
          <w:spacing w:val="2"/>
          <w:sz w:val="24"/>
          <w:szCs w:val="24"/>
        </w:rPr>
        <w:t>辅材料入库前必须进行检测中心检测，合格的才能入库，不合格的坚决退货；二</w:t>
      </w:r>
      <w:r>
        <w:rPr>
          <w:rFonts w:ascii="宋体" w:hAnsi="宋体" w:eastAsia="宋体" w:cs="宋体"/>
          <w:spacing w:val="14"/>
          <w:sz w:val="24"/>
          <w:szCs w:val="24"/>
        </w:rPr>
        <w:t xml:space="preserve"> </w:t>
      </w:r>
      <w:r>
        <w:rPr>
          <w:rFonts w:ascii="宋体" w:hAnsi="宋体" w:eastAsia="宋体" w:cs="宋体"/>
          <w:spacing w:val="2"/>
          <w:sz w:val="24"/>
          <w:szCs w:val="24"/>
        </w:rPr>
        <w:t>是把好半成品关。对待各个环节，做到每个班次抽检，并以检测中心抽检提出的</w:t>
      </w:r>
      <w:r>
        <w:rPr>
          <w:rFonts w:ascii="宋体" w:hAnsi="宋体" w:eastAsia="宋体" w:cs="宋体"/>
          <w:spacing w:val="14"/>
          <w:sz w:val="24"/>
          <w:szCs w:val="24"/>
        </w:rPr>
        <w:t xml:space="preserve"> </w:t>
      </w:r>
      <w:r>
        <w:rPr>
          <w:rFonts w:ascii="宋体" w:hAnsi="宋体" w:eastAsia="宋体" w:cs="宋体"/>
          <w:spacing w:val="2"/>
          <w:sz w:val="24"/>
          <w:szCs w:val="24"/>
        </w:rPr>
        <w:t>意见为准，该返工的返工，该整修的整修。三是把好成品关。全部产品均按国家</w:t>
      </w:r>
      <w:r>
        <w:rPr>
          <w:rFonts w:ascii="宋体" w:hAnsi="宋体" w:eastAsia="宋体" w:cs="宋体"/>
          <w:spacing w:val="14"/>
          <w:sz w:val="24"/>
          <w:szCs w:val="24"/>
        </w:rPr>
        <w:t xml:space="preserve"> </w:t>
      </w:r>
      <w:r>
        <w:rPr>
          <w:rFonts w:ascii="宋体" w:hAnsi="宋体" w:eastAsia="宋体" w:cs="宋体"/>
          <w:spacing w:val="2"/>
          <w:sz w:val="24"/>
          <w:szCs w:val="24"/>
        </w:rPr>
        <w:t>或行业标准进行检测，不合格产品决不出库销售。本公司质量检测设备齐全，检</w:t>
      </w:r>
      <w:r>
        <w:rPr>
          <w:rFonts w:ascii="宋体" w:hAnsi="宋体" w:eastAsia="宋体" w:cs="宋体"/>
          <w:spacing w:val="14"/>
          <w:sz w:val="24"/>
          <w:szCs w:val="24"/>
        </w:rPr>
        <w:t xml:space="preserve"> </w:t>
      </w:r>
      <w:r>
        <w:rPr>
          <w:rFonts w:ascii="宋体" w:hAnsi="宋体" w:eastAsia="宋体" w:cs="宋体"/>
          <w:spacing w:val="6"/>
          <w:sz w:val="24"/>
          <w:szCs w:val="24"/>
        </w:rPr>
        <w:t>测手段完备，通过</w:t>
      </w:r>
      <w:r>
        <w:rPr>
          <w:rFonts w:ascii="宋体" w:hAnsi="宋体" w:eastAsia="宋体" w:cs="宋体"/>
          <w:sz w:val="24"/>
          <w:szCs w:val="24"/>
        </w:rPr>
        <w:t>IS</w:t>
      </w:r>
      <w:r>
        <w:rPr>
          <w:rFonts w:ascii="宋体" w:hAnsi="宋体" w:eastAsia="宋体" w:cs="宋体"/>
          <w:spacing w:val="6"/>
          <w:sz w:val="24"/>
          <w:szCs w:val="24"/>
        </w:rPr>
        <w:t>09001：2015质量管理体</w:t>
      </w:r>
      <w:r>
        <w:rPr>
          <w:rFonts w:ascii="宋体" w:hAnsi="宋体" w:eastAsia="宋体" w:cs="宋体"/>
          <w:spacing w:val="5"/>
          <w:sz w:val="24"/>
          <w:szCs w:val="24"/>
        </w:rPr>
        <w:t>系认证。产品市场信誉度良好。本</w:t>
      </w:r>
      <w:r>
        <w:rPr>
          <w:rFonts w:ascii="宋体" w:hAnsi="宋体" w:eastAsia="宋体" w:cs="宋体"/>
          <w:sz w:val="24"/>
          <w:szCs w:val="24"/>
        </w:rPr>
        <w:t xml:space="preserve"> </w:t>
      </w:r>
      <w:r>
        <w:rPr>
          <w:rFonts w:ascii="宋体" w:hAnsi="宋体" w:eastAsia="宋体" w:cs="宋体"/>
          <w:spacing w:val="2"/>
          <w:sz w:val="24"/>
          <w:szCs w:val="24"/>
        </w:rPr>
        <w:t>公司通过走访客户，请客户到企业座谈，质量跟踪等多种形式，诚恳征求客户意</w:t>
      </w:r>
      <w:r>
        <w:rPr>
          <w:rFonts w:ascii="宋体" w:hAnsi="宋体" w:eastAsia="宋体" w:cs="宋体"/>
          <w:spacing w:val="14"/>
          <w:sz w:val="24"/>
          <w:szCs w:val="24"/>
        </w:rPr>
        <w:t xml:space="preserve"> </w:t>
      </w:r>
      <w:r>
        <w:rPr>
          <w:rFonts w:ascii="宋体" w:hAnsi="宋体" w:eastAsia="宋体" w:cs="宋体"/>
          <w:spacing w:val="-2"/>
          <w:sz w:val="24"/>
          <w:szCs w:val="24"/>
        </w:rPr>
        <w:t>见。2021年一</w:t>
      </w:r>
      <w:r>
        <w:rPr>
          <w:rFonts w:hint="eastAsia" w:ascii="宋体" w:hAnsi="宋体" w:eastAsia="宋体" w:cs="宋体"/>
          <w:spacing w:val="-2"/>
          <w:sz w:val="24"/>
          <w:szCs w:val="24"/>
          <w:lang w:eastAsia="zh-CN"/>
        </w:rPr>
        <w:t>2024</w:t>
      </w:r>
      <w:r>
        <w:rPr>
          <w:rFonts w:ascii="宋体" w:hAnsi="宋体" w:eastAsia="宋体" w:cs="宋体"/>
          <w:spacing w:val="-2"/>
          <w:sz w:val="24"/>
          <w:szCs w:val="24"/>
        </w:rPr>
        <w:t>年，未发生质量安全事故。</w:t>
      </w:r>
    </w:p>
    <w:p w14:paraId="6495D19E">
      <w:pPr>
        <w:pStyle w:val="2"/>
        <w:spacing w:line="331" w:lineRule="auto"/>
      </w:pPr>
    </w:p>
    <w:p w14:paraId="79F5BC3D">
      <w:pPr>
        <w:spacing w:before="101" w:line="225" w:lineRule="auto"/>
        <w:ind w:left="1006"/>
        <w:outlineLvl w:val="0"/>
        <w:rPr>
          <w:rFonts w:ascii="宋体" w:hAnsi="宋体" w:eastAsia="宋体" w:cs="宋体"/>
          <w:sz w:val="31"/>
          <w:szCs w:val="31"/>
        </w:rPr>
      </w:pPr>
      <w:r>
        <w:rPr>
          <w:rFonts w:ascii="宋体" w:hAnsi="宋体" w:eastAsia="宋体" w:cs="宋体"/>
          <w:spacing w:val="3"/>
          <w:sz w:val="31"/>
          <w:szCs w:val="31"/>
        </w:rPr>
        <w:t>（三）员工权益</w:t>
      </w:r>
    </w:p>
    <w:p w14:paraId="7D662C3E">
      <w:pPr>
        <w:spacing w:before="291" w:line="220" w:lineRule="auto"/>
        <w:ind w:left="1417"/>
        <w:rPr>
          <w:rFonts w:ascii="宋体" w:hAnsi="宋体" w:eastAsia="宋体" w:cs="宋体"/>
          <w:sz w:val="24"/>
          <w:szCs w:val="24"/>
        </w:rPr>
      </w:pPr>
      <w:r>
        <w:rPr>
          <w:rFonts w:ascii="宋体" w:hAnsi="宋体" w:eastAsia="宋体" w:cs="宋体"/>
          <w:spacing w:val="-26"/>
          <w:sz w:val="24"/>
          <w:szCs w:val="24"/>
        </w:rPr>
        <w:t>公司严格执行《劳动法》《安全生产法》《职业病防治法》《职业病管理与防护办法》</w:t>
      </w:r>
    </w:p>
    <w:p w14:paraId="1B444ACB">
      <w:pPr>
        <w:spacing w:before="210" w:line="220" w:lineRule="auto"/>
        <w:ind w:left="991"/>
        <w:rPr>
          <w:rFonts w:ascii="宋体" w:hAnsi="宋体" w:eastAsia="宋体" w:cs="宋体"/>
          <w:sz w:val="24"/>
          <w:szCs w:val="24"/>
        </w:rPr>
      </w:pPr>
      <w:r>
        <w:rPr>
          <w:rFonts w:ascii="宋体" w:hAnsi="宋体" w:eastAsia="宋体" w:cs="宋体"/>
          <w:spacing w:val="-25"/>
          <w:w w:val="99"/>
          <w:sz w:val="24"/>
          <w:szCs w:val="24"/>
        </w:rPr>
        <w:t>《工业卫生与职业病管理办法》《劳动保护管理办法》《女工劳动保护管理办法》等劳动、</w:t>
      </w:r>
    </w:p>
    <w:p w14:paraId="6AA2EB0E">
      <w:pPr>
        <w:spacing w:before="211" w:line="380" w:lineRule="auto"/>
        <w:ind w:left="988" w:right="6581" w:firstLine="6"/>
        <w:jc w:val="both"/>
        <w:rPr>
          <w:rFonts w:ascii="宋体" w:hAnsi="宋体" w:eastAsia="宋体" w:cs="宋体"/>
          <w:sz w:val="24"/>
          <w:szCs w:val="24"/>
        </w:rPr>
      </w:pPr>
      <w:r>
        <w:drawing>
          <wp:anchor distT="0" distB="0" distL="0" distR="0" simplePos="0" relativeHeight="251659264" behindDoc="0" locked="0" layoutInCell="1" allowOverlap="1">
            <wp:simplePos x="0" y="0"/>
            <wp:positionH relativeFrom="column">
              <wp:posOffset>2405380</wp:posOffset>
            </wp:positionH>
            <wp:positionV relativeFrom="paragraph">
              <wp:posOffset>135255</wp:posOffset>
            </wp:positionV>
            <wp:extent cx="4076700" cy="242951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1"/>
                    <a:stretch>
                      <a:fillRect/>
                    </a:stretch>
                  </pic:blipFill>
                  <pic:spPr>
                    <a:xfrm>
                      <a:off x="0" y="0"/>
                      <a:ext cx="4076700" cy="2429382"/>
                    </a:xfrm>
                    <a:prstGeom prst="rect">
                      <a:avLst/>
                    </a:prstGeom>
                  </pic:spPr>
                </pic:pic>
              </a:graphicData>
            </a:graphic>
          </wp:anchor>
        </w:drawing>
      </w:r>
      <w:r>
        <w:rPr>
          <w:rFonts w:ascii="宋体" w:hAnsi="宋体" w:eastAsia="宋体" w:cs="宋体"/>
          <w:spacing w:val="-1"/>
          <w:sz w:val="24"/>
          <w:szCs w:val="24"/>
        </w:rPr>
        <w:t>安全生活法律法规，为员</w:t>
      </w:r>
      <w:r>
        <w:rPr>
          <w:rFonts w:ascii="宋体" w:hAnsi="宋体" w:eastAsia="宋体" w:cs="宋体"/>
          <w:spacing w:val="2"/>
          <w:sz w:val="24"/>
          <w:szCs w:val="24"/>
        </w:rPr>
        <w:t xml:space="preserve"> </w:t>
      </w:r>
      <w:r>
        <w:rPr>
          <w:rFonts w:ascii="宋体" w:hAnsi="宋体" w:eastAsia="宋体" w:cs="宋体"/>
          <w:spacing w:val="-1"/>
          <w:sz w:val="24"/>
          <w:szCs w:val="24"/>
        </w:rPr>
        <w:t>工创造健康、安全的工作</w:t>
      </w:r>
      <w:r>
        <w:rPr>
          <w:rFonts w:ascii="宋体" w:hAnsi="宋体" w:eastAsia="宋体" w:cs="宋体"/>
          <w:spacing w:val="9"/>
          <w:sz w:val="24"/>
          <w:szCs w:val="24"/>
        </w:rPr>
        <w:t xml:space="preserve"> </w:t>
      </w:r>
      <w:r>
        <w:rPr>
          <w:rFonts w:ascii="宋体" w:hAnsi="宋体" w:eastAsia="宋体" w:cs="宋体"/>
          <w:spacing w:val="-1"/>
          <w:sz w:val="24"/>
          <w:szCs w:val="24"/>
        </w:rPr>
        <w:t>环境。公司与员工签订劳</w:t>
      </w:r>
      <w:r>
        <w:rPr>
          <w:rFonts w:ascii="宋体" w:hAnsi="宋体" w:eastAsia="宋体" w:cs="宋体"/>
          <w:spacing w:val="9"/>
          <w:sz w:val="24"/>
          <w:szCs w:val="24"/>
        </w:rPr>
        <w:t xml:space="preserve"> </w:t>
      </w:r>
      <w:r>
        <w:rPr>
          <w:rFonts w:ascii="宋体" w:hAnsi="宋体" w:eastAsia="宋体" w:cs="宋体"/>
          <w:spacing w:val="-1"/>
          <w:sz w:val="24"/>
          <w:szCs w:val="24"/>
        </w:rPr>
        <w:t>动合同，准时发放工资和</w:t>
      </w:r>
      <w:r>
        <w:rPr>
          <w:rFonts w:ascii="宋体" w:hAnsi="宋体" w:eastAsia="宋体" w:cs="宋体"/>
          <w:sz w:val="24"/>
          <w:szCs w:val="24"/>
        </w:rPr>
        <w:t xml:space="preserve"> </w:t>
      </w:r>
      <w:r>
        <w:rPr>
          <w:rFonts w:ascii="宋体" w:hAnsi="宋体" w:eastAsia="宋体" w:cs="宋体"/>
          <w:spacing w:val="-1"/>
          <w:sz w:val="24"/>
          <w:szCs w:val="24"/>
        </w:rPr>
        <w:t>缴纳各种保险，定期组织</w:t>
      </w:r>
      <w:r>
        <w:rPr>
          <w:rFonts w:ascii="宋体" w:hAnsi="宋体" w:eastAsia="宋体" w:cs="宋体"/>
          <w:sz w:val="24"/>
          <w:szCs w:val="24"/>
        </w:rPr>
        <w:t xml:space="preserve"> </w:t>
      </w:r>
      <w:r>
        <w:rPr>
          <w:rFonts w:ascii="宋体" w:hAnsi="宋体" w:eastAsia="宋体" w:cs="宋体"/>
          <w:spacing w:val="-1"/>
          <w:sz w:val="24"/>
          <w:szCs w:val="24"/>
        </w:rPr>
        <w:t>安全生产培训等。公司已</w:t>
      </w:r>
      <w:r>
        <w:rPr>
          <w:rFonts w:ascii="宋体" w:hAnsi="宋体" w:eastAsia="宋体" w:cs="宋体"/>
          <w:sz w:val="24"/>
          <w:szCs w:val="24"/>
        </w:rPr>
        <w:t xml:space="preserve"> </w:t>
      </w:r>
      <w:r>
        <w:rPr>
          <w:rFonts w:ascii="宋体" w:hAnsi="宋体" w:eastAsia="宋体" w:cs="宋体"/>
          <w:spacing w:val="-3"/>
          <w:sz w:val="24"/>
          <w:szCs w:val="24"/>
        </w:rPr>
        <w:t>通过</w:t>
      </w:r>
      <w:r>
        <w:rPr>
          <w:rFonts w:ascii="Times New Roman" w:hAnsi="Times New Roman" w:eastAsia="Times New Roman" w:cs="Times New Roman"/>
          <w:spacing w:val="-3"/>
          <w:sz w:val="24"/>
          <w:szCs w:val="24"/>
        </w:rPr>
        <w:t>ISO45001</w:t>
      </w:r>
      <w:r>
        <w:rPr>
          <w:rFonts w:ascii="宋体" w:hAnsi="宋体" w:eastAsia="宋体" w:cs="宋体"/>
          <w:spacing w:val="-3"/>
          <w:sz w:val="24"/>
          <w:szCs w:val="24"/>
        </w:rPr>
        <w:t>职业健康安</w:t>
      </w:r>
      <w:r>
        <w:rPr>
          <w:rFonts w:ascii="宋体" w:hAnsi="宋体" w:eastAsia="宋体" w:cs="宋体"/>
          <w:spacing w:val="6"/>
          <w:sz w:val="24"/>
          <w:szCs w:val="24"/>
        </w:rPr>
        <w:t xml:space="preserve"> </w:t>
      </w:r>
      <w:r>
        <w:rPr>
          <w:rFonts w:ascii="宋体" w:hAnsi="宋体" w:eastAsia="宋体" w:cs="宋体"/>
          <w:spacing w:val="-7"/>
          <w:sz w:val="24"/>
          <w:szCs w:val="24"/>
        </w:rPr>
        <w:t>全管理体系认证。</w:t>
      </w:r>
    </w:p>
    <w:p w14:paraId="582C628E">
      <w:pPr>
        <w:spacing w:before="35" w:line="357" w:lineRule="auto"/>
        <w:ind w:left="991" w:right="532" w:firstLine="477"/>
        <w:rPr>
          <w:rFonts w:ascii="宋体" w:hAnsi="宋体" w:eastAsia="宋体" w:cs="宋体"/>
          <w:sz w:val="24"/>
          <w:szCs w:val="24"/>
        </w:rPr>
      </w:pPr>
      <w:r>
        <w:rPr>
          <w:rFonts w:ascii="宋体" w:hAnsi="宋体" w:eastAsia="宋体" w:cs="宋体"/>
          <w:spacing w:val="-7"/>
          <w:sz w:val="24"/>
          <w:szCs w:val="24"/>
        </w:rPr>
        <w:t>舒适的办公</w:t>
      </w:r>
      <w:r>
        <w:rPr>
          <w:rFonts w:ascii="Times New Roman" w:hAnsi="Times New Roman" w:eastAsia="Times New Roman" w:cs="Times New Roman"/>
          <w:spacing w:val="-7"/>
          <w:sz w:val="24"/>
          <w:szCs w:val="24"/>
        </w:rPr>
        <w:t>/</w:t>
      </w:r>
      <w:r>
        <w:rPr>
          <w:rFonts w:ascii="宋体" w:hAnsi="宋体" w:eastAsia="宋体" w:cs="宋体"/>
          <w:spacing w:val="-7"/>
          <w:sz w:val="24"/>
          <w:szCs w:val="24"/>
        </w:rPr>
        <w:t>生产环境：关爱员工，关注职工健康安全。公司</w:t>
      </w:r>
      <w:r>
        <w:rPr>
          <w:rFonts w:ascii="宋体" w:hAnsi="宋体" w:eastAsia="宋体" w:cs="宋体"/>
          <w:spacing w:val="-8"/>
          <w:sz w:val="24"/>
          <w:szCs w:val="24"/>
        </w:rPr>
        <w:t>重视员工安全工作，</w:t>
      </w:r>
      <w:r>
        <w:rPr>
          <w:rFonts w:ascii="宋体" w:hAnsi="宋体" w:eastAsia="宋体" w:cs="宋体"/>
          <w:sz w:val="24"/>
          <w:szCs w:val="24"/>
        </w:rPr>
        <w:t xml:space="preserve"> </w:t>
      </w:r>
      <w:r>
        <w:rPr>
          <w:rFonts w:ascii="宋体" w:hAnsi="宋体" w:eastAsia="宋体" w:cs="宋体"/>
          <w:spacing w:val="-4"/>
          <w:sz w:val="24"/>
          <w:szCs w:val="24"/>
        </w:rPr>
        <w:t>新入职员工必须安排岗前安全培训，并定期组织公司级、车间级、班组级的三级安</w:t>
      </w:r>
    </w:p>
    <w:p w14:paraId="0366B28D">
      <w:pPr>
        <w:spacing w:line="357" w:lineRule="auto"/>
        <w:rPr>
          <w:rFonts w:ascii="宋体" w:hAnsi="宋体" w:eastAsia="宋体" w:cs="宋体"/>
          <w:sz w:val="24"/>
          <w:szCs w:val="24"/>
        </w:rPr>
        <w:sectPr>
          <w:headerReference r:id="rId18" w:type="default"/>
          <w:footerReference r:id="rId19" w:type="default"/>
          <w:pgSz w:w="11912" w:h="16841"/>
          <w:pgMar w:top="1074" w:right="981" w:bottom="1360" w:left="720" w:header="399" w:footer="1200" w:gutter="0"/>
          <w:cols w:space="720" w:num="1"/>
        </w:sectPr>
      </w:pPr>
    </w:p>
    <w:p w14:paraId="29EBEB4D">
      <w:pPr>
        <w:pStyle w:val="2"/>
        <w:spacing w:line="291" w:lineRule="auto"/>
      </w:pPr>
    </w:p>
    <w:p w14:paraId="2A9A2843">
      <w:pPr>
        <w:pStyle w:val="2"/>
        <w:spacing w:line="291" w:lineRule="auto"/>
      </w:pPr>
    </w:p>
    <w:p w14:paraId="663E97BE">
      <w:pPr>
        <w:spacing w:before="78" w:line="369" w:lineRule="auto"/>
        <w:ind w:left="989" w:right="6181"/>
        <w:rPr>
          <w:rFonts w:ascii="宋体" w:hAnsi="宋体" w:eastAsia="宋体" w:cs="宋体"/>
          <w:sz w:val="24"/>
          <w:szCs w:val="24"/>
        </w:rPr>
      </w:pPr>
      <w:r>
        <w:drawing>
          <wp:anchor distT="0" distB="0" distL="0" distR="0" simplePos="0" relativeHeight="251660288" behindDoc="1" locked="0" layoutInCell="1" allowOverlap="1">
            <wp:simplePos x="0" y="0"/>
            <wp:positionH relativeFrom="column">
              <wp:posOffset>2278380</wp:posOffset>
            </wp:positionH>
            <wp:positionV relativeFrom="paragraph">
              <wp:posOffset>62865</wp:posOffset>
            </wp:positionV>
            <wp:extent cx="3752850" cy="28892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2"/>
                    <a:stretch>
                      <a:fillRect/>
                    </a:stretch>
                  </pic:blipFill>
                  <pic:spPr>
                    <a:xfrm>
                      <a:off x="0" y="0"/>
                      <a:ext cx="3752850" cy="2889250"/>
                    </a:xfrm>
                    <a:prstGeom prst="rect">
                      <a:avLst/>
                    </a:prstGeom>
                  </pic:spPr>
                </pic:pic>
              </a:graphicData>
            </a:graphic>
          </wp:anchor>
        </w:drawing>
      </w:r>
      <w:r>
        <w:rPr>
          <w:rFonts w:ascii="宋体" w:hAnsi="宋体" w:eastAsia="宋体" w:cs="宋体"/>
          <w:spacing w:val="2"/>
          <w:sz w:val="24"/>
          <w:szCs w:val="24"/>
        </w:rPr>
        <w:t>全教育培训，确保员工</w:t>
      </w:r>
      <w:r>
        <w:rPr>
          <w:rFonts w:ascii="宋体" w:hAnsi="宋体" w:eastAsia="宋体" w:cs="宋体"/>
          <w:spacing w:val="8"/>
          <w:sz w:val="24"/>
          <w:szCs w:val="24"/>
        </w:rPr>
        <w:t xml:space="preserve"> </w:t>
      </w:r>
      <w:r>
        <w:rPr>
          <w:rFonts w:ascii="宋体" w:hAnsi="宋体" w:eastAsia="宋体" w:cs="宋体"/>
          <w:spacing w:val="2"/>
          <w:sz w:val="24"/>
          <w:szCs w:val="24"/>
        </w:rPr>
        <w:t>在安全的环境中工作，</w:t>
      </w:r>
    </w:p>
    <w:p w14:paraId="2D339EC4">
      <w:pPr>
        <w:spacing w:before="32" w:line="380" w:lineRule="auto"/>
        <w:ind w:left="989" w:right="5988" w:firstLine="6"/>
        <w:rPr>
          <w:rFonts w:ascii="宋体" w:hAnsi="宋体" w:eastAsia="宋体" w:cs="宋体"/>
          <w:sz w:val="24"/>
          <w:szCs w:val="24"/>
        </w:rPr>
      </w:pPr>
      <w:r>
        <w:rPr>
          <w:rFonts w:ascii="宋体" w:hAnsi="宋体" w:eastAsia="宋体" w:cs="宋体"/>
          <w:spacing w:val="-3"/>
          <w:sz w:val="24"/>
          <w:szCs w:val="24"/>
        </w:rPr>
        <w:t>并具有强烈的安全意识。</w:t>
      </w:r>
      <w:r>
        <w:rPr>
          <w:rFonts w:ascii="宋体" w:hAnsi="宋体" w:eastAsia="宋体" w:cs="宋体"/>
          <w:spacing w:val="8"/>
          <w:sz w:val="24"/>
          <w:szCs w:val="24"/>
        </w:rPr>
        <w:t xml:space="preserve"> </w:t>
      </w:r>
      <w:r>
        <w:rPr>
          <w:rFonts w:ascii="宋体" w:hAnsi="宋体" w:eastAsia="宋体" w:cs="宋体"/>
          <w:spacing w:val="3"/>
          <w:sz w:val="24"/>
          <w:szCs w:val="24"/>
        </w:rPr>
        <w:t>公司推行清洁生产，为</w:t>
      </w:r>
      <w:r>
        <w:rPr>
          <w:rFonts w:ascii="宋体" w:hAnsi="宋体" w:eastAsia="宋体" w:cs="宋体"/>
          <w:sz w:val="24"/>
          <w:szCs w:val="24"/>
        </w:rPr>
        <w:t xml:space="preserve">  </w:t>
      </w:r>
      <w:r>
        <w:rPr>
          <w:rFonts w:ascii="宋体" w:hAnsi="宋体" w:eastAsia="宋体" w:cs="宋体"/>
          <w:spacing w:val="3"/>
          <w:sz w:val="24"/>
          <w:szCs w:val="24"/>
        </w:rPr>
        <w:t>特殊员工提供劳动保护</w:t>
      </w:r>
      <w:r>
        <w:rPr>
          <w:rFonts w:ascii="宋体" w:hAnsi="宋体" w:eastAsia="宋体" w:cs="宋体"/>
          <w:sz w:val="24"/>
          <w:szCs w:val="24"/>
        </w:rPr>
        <w:t xml:space="preserve">  </w:t>
      </w:r>
      <w:r>
        <w:rPr>
          <w:rFonts w:ascii="宋体" w:hAnsi="宋体" w:eastAsia="宋体" w:cs="宋体"/>
          <w:spacing w:val="3"/>
          <w:sz w:val="24"/>
          <w:szCs w:val="24"/>
        </w:rPr>
        <w:t>工具，有效降低各种固</w:t>
      </w:r>
      <w:r>
        <w:rPr>
          <w:rFonts w:ascii="宋体" w:hAnsi="宋体" w:eastAsia="宋体" w:cs="宋体"/>
          <w:sz w:val="24"/>
          <w:szCs w:val="24"/>
        </w:rPr>
        <w:t xml:space="preserve">  </w:t>
      </w:r>
      <w:r>
        <w:rPr>
          <w:rFonts w:ascii="宋体" w:hAnsi="宋体" w:eastAsia="宋体" w:cs="宋体"/>
          <w:spacing w:val="3"/>
          <w:sz w:val="24"/>
          <w:szCs w:val="24"/>
        </w:rPr>
        <w:t>废对员工身体的直接或</w:t>
      </w:r>
      <w:r>
        <w:rPr>
          <w:rFonts w:ascii="宋体" w:hAnsi="宋体" w:eastAsia="宋体" w:cs="宋体"/>
          <w:sz w:val="24"/>
          <w:szCs w:val="24"/>
        </w:rPr>
        <w:t xml:space="preserve">  </w:t>
      </w:r>
      <w:r>
        <w:rPr>
          <w:rFonts w:ascii="宋体" w:hAnsi="宋体" w:eastAsia="宋体" w:cs="宋体"/>
          <w:spacing w:val="3"/>
          <w:sz w:val="24"/>
          <w:szCs w:val="24"/>
        </w:rPr>
        <w:t>者间接伤害，并优化员</w:t>
      </w:r>
      <w:r>
        <w:rPr>
          <w:rFonts w:ascii="宋体" w:hAnsi="宋体" w:eastAsia="宋体" w:cs="宋体"/>
          <w:sz w:val="24"/>
          <w:szCs w:val="24"/>
        </w:rPr>
        <w:t xml:space="preserve">  </w:t>
      </w:r>
      <w:r>
        <w:rPr>
          <w:rFonts w:ascii="宋体" w:hAnsi="宋体" w:eastAsia="宋体" w:cs="宋体"/>
          <w:spacing w:val="3"/>
          <w:sz w:val="24"/>
          <w:szCs w:val="24"/>
        </w:rPr>
        <w:t>工工作环境，有效保障</w:t>
      </w:r>
      <w:r>
        <w:rPr>
          <w:rFonts w:ascii="宋体" w:hAnsi="宋体" w:eastAsia="宋体" w:cs="宋体"/>
          <w:sz w:val="24"/>
          <w:szCs w:val="24"/>
        </w:rPr>
        <w:t xml:space="preserve">  </w:t>
      </w:r>
      <w:r>
        <w:rPr>
          <w:rFonts w:ascii="宋体" w:hAnsi="宋体" w:eastAsia="宋体" w:cs="宋体"/>
          <w:spacing w:val="3"/>
          <w:sz w:val="24"/>
          <w:szCs w:val="24"/>
        </w:rPr>
        <w:t>职工的健康和安全。公</w:t>
      </w:r>
    </w:p>
    <w:p w14:paraId="11F0218E">
      <w:pPr>
        <w:spacing w:before="38" w:line="379" w:lineRule="auto"/>
        <w:ind w:left="990" w:right="100" w:firstLine="9"/>
        <w:jc w:val="both"/>
        <w:rPr>
          <w:rFonts w:ascii="宋体" w:hAnsi="宋体" w:eastAsia="宋体" w:cs="宋体"/>
          <w:sz w:val="24"/>
          <w:szCs w:val="24"/>
        </w:rPr>
      </w:pPr>
      <w:r>
        <w:rPr>
          <w:rFonts w:ascii="宋体" w:hAnsi="宋体" w:eastAsia="宋体" w:cs="宋体"/>
          <w:spacing w:val="-4"/>
          <w:sz w:val="24"/>
          <w:szCs w:val="24"/>
        </w:rPr>
        <w:t>司为职工提供健康、安全的工作环境和生活环境，继续增加在员工食堂和员</w:t>
      </w:r>
      <w:r>
        <w:rPr>
          <w:rFonts w:ascii="宋体" w:hAnsi="宋体" w:eastAsia="宋体" w:cs="宋体"/>
          <w:spacing w:val="-5"/>
          <w:sz w:val="24"/>
          <w:szCs w:val="24"/>
        </w:rPr>
        <w:t>工宿舍</w:t>
      </w:r>
      <w:r>
        <w:rPr>
          <w:rFonts w:ascii="宋体" w:hAnsi="宋体" w:eastAsia="宋体" w:cs="宋体"/>
          <w:sz w:val="24"/>
          <w:szCs w:val="24"/>
        </w:rPr>
        <w:t xml:space="preserve"> </w:t>
      </w:r>
      <w:r>
        <w:rPr>
          <w:rFonts w:ascii="宋体" w:hAnsi="宋体" w:eastAsia="宋体" w:cs="宋体"/>
          <w:spacing w:val="-4"/>
          <w:sz w:val="24"/>
          <w:szCs w:val="24"/>
        </w:rPr>
        <w:t>建设的投入，公司给予一定的补贴食堂为每位员工提供午餐和晚餐，保证员工吃的</w:t>
      </w:r>
      <w:r>
        <w:rPr>
          <w:rFonts w:ascii="宋体" w:hAnsi="宋体" w:eastAsia="宋体" w:cs="宋体"/>
          <w:spacing w:val="6"/>
          <w:sz w:val="24"/>
          <w:szCs w:val="24"/>
        </w:rPr>
        <w:t xml:space="preserve"> </w:t>
      </w:r>
      <w:r>
        <w:rPr>
          <w:rFonts w:ascii="宋体" w:hAnsi="宋体" w:eastAsia="宋体" w:cs="宋体"/>
          <w:spacing w:val="-4"/>
          <w:sz w:val="24"/>
          <w:szCs w:val="24"/>
        </w:rPr>
        <w:t>卫生、吃的营养健康。公司致力于改善办公环境，持续引进新型设备，减少员工的</w:t>
      </w:r>
      <w:r>
        <w:rPr>
          <w:rFonts w:ascii="宋体" w:hAnsi="宋体" w:eastAsia="宋体" w:cs="宋体"/>
          <w:spacing w:val="7"/>
          <w:sz w:val="24"/>
          <w:szCs w:val="24"/>
        </w:rPr>
        <w:t xml:space="preserve"> </w:t>
      </w:r>
      <w:r>
        <w:rPr>
          <w:rFonts w:ascii="宋体" w:hAnsi="宋体" w:eastAsia="宋体" w:cs="宋体"/>
          <w:spacing w:val="3"/>
          <w:sz w:val="24"/>
          <w:szCs w:val="24"/>
        </w:rPr>
        <w:t>不安全操作岗位，并降低车间噪音的危害。公司</w:t>
      </w:r>
      <w:r>
        <w:rPr>
          <w:rFonts w:ascii="宋体" w:hAnsi="宋体" w:eastAsia="宋体" w:cs="宋体"/>
          <w:spacing w:val="2"/>
          <w:sz w:val="24"/>
          <w:szCs w:val="24"/>
        </w:rPr>
        <w:t>扩大绿化覆盖面积，办公区增加</w:t>
      </w:r>
      <w:r>
        <w:rPr>
          <w:rFonts w:ascii="宋体" w:hAnsi="宋体" w:eastAsia="宋体" w:cs="宋体"/>
          <w:sz w:val="24"/>
          <w:szCs w:val="24"/>
        </w:rPr>
        <w:t xml:space="preserve"> </w:t>
      </w:r>
      <w:r>
        <w:rPr>
          <w:rFonts w:ascii="宋体" w:hAnsi="宋体" w:eastAsia="宋体" w:cs="宋体"/>
          <w:spacing w:val="3"/>
          <w:sz w:val="24"/>
          <w:szCs w:val="24"/>
        </w:rPr>
        <w:t>绿植种类数量，为员工营造宜人的环境，也有益</w:t>
      </w:r>
      <w:r>
        <w:rPr>
          <w:rFonts w:ascii="宋体" w:hAnsi="宋体" w:eastAsia="宋体" w:cs="宋体"/>
          <w:spacing w:val="2"/>
          <w:sz w:val="24"/>
          <w:szCs w:val="24"/>
        </w:rPr>
        <w:t>于员工的身体健康，同时厂区绿</w:t>
      </w:r>
      <w:r>
        <w:rPr>
          <w:rFonts w:ascii="宋体" w:hAnsi="宋体" w:eastAsia="宋体" w:cs="宋体"/>
          <w:sz w:val="24"/>
          <w:szCs w:val="24"/>
        </w:rPr>
        <w:t xml:space="preserve"> </w:t>
      </w:r>
      <w:r>
        <w:rPr>
          <w:rFonts w:ascii="宋体" w:hAnsi="宋体" w:eastAsia="宋体" w:cs="宋体"/>
          <w:spacing w:val="-4"/>
          <w:sz w:val="24"/>
          <w:szCs w:val="24"/>
        </w:rPr>
        <w:t>化能够改善小气候，有效防治“三废”污染。公司每年组织员工免费健康体检、关</w:t>
      </w:r>
      <w:r>
        <w:rPr>
          <w:rFonts w:ascii="宋体" w:hAnsi="宋体" w:eastAsia="宋体" w:cs="宋体"/>
          <w:spacing w:val="12"/>
          <w:sz w:val="24"/>
          <w:szCs w:val="24"/>
        </w:rPr>
        <w:t xml:space="preserve"> </w:t>
      </w:r>
      <w:r>
        <w:rPr>
          <w:rFonts w:ascii="宋体" w:hAnsi="宋体" w:eastAsia="宋体" w:cs="宋体"/>
          <w:spacing w:val="-9"/>
          <w:sz w:val="24"/>
          <w:szCs w:val="24"/>
        </w:rPr>
        <w:t>注员工健康，提升职工生活质量水平。</w:t>
      </w:r>
    </w:p>
    <w:p w14:paraId="2679E5C0">
      <w:pPr>
        <w:pStyle w:val="2"/>
        <w:spacing w:line="456" w:lineRule="auto"/>
      </w:pPr>
    </w:p>
    <w:p w14:paraId="39518D71">
      <w:pPr>
        <w:spacing w:before="101" w:line="226" w:lineRule="auto"/>
        <w:ind w:left="1006"/>
        <w:outlineLvl w:val="0"/>
        <w:rPr>
          <w:rFonts w:ascii="宋体" w:hAnsi="宋体" w:eastAsia="宋体" w:cs="宋体"/>
          <w:sz w:val="31"/>
          <w:szCs w:val="31"/>
        </w:rPr>
      </w:pPr>
      <w:r>
        <w:rPr>
          <w:rFonts w:ascii="宋体" w:hAnsi="宋体" w:eastAsia="宋体" w:cs="宋体"/>
          <w:spacing w:val="4"/>
          <w:sz w:val="31"/>
          <w:szCs w:val="31"/>
        </w:rPr>
        <w:t>（四）节能减排</w:t>
      </w:r>
    </w:p>
    <w:p w14:paraId="0375FFBB">
      <w:pPr>
        <w:spacing w:before="294" w:line="220" w:lineRule="auto"/>
        <w:ind w:left="1488"/>
        <w:outlineLvl w:val="1"/>
        <w:rPr>
          <w:rFonts w:ascii="宋体" w:hAnsi="宋体" w:eastAsia="宋体" w:cs="宋体"/>
          <w:sz w:val="24"/>
          <w:szCs w:val="24"/>
        </w:rPr>
      </w:pPr>
      <w:r>
        <w:rPr>
          <w:rFonts w:ascii="宋体" w:hAnsi="宋体" w:eastAsia="宋体" w:cs="宋体"/>
          <w:spacing w:val="-5"/>
          <w:sz w:val="24"/>
          <w:szCs w:val="24"/>
        </w:rPr>
        <w:t>1、环境治理情况</w:t>
      </w:r>
    </w:p>
    <w:p w14:paraId="11DA0CCA">
      <w:pPr>
        <w:spacing w:before="210" w:line="220" w:lineRule="auto"/>
        <w:ind w:left="1477"/>
        <w:rPr>
          <w:rFonts w:ascii="宋体" w:hAnsi="宋体" w:eastAsia="宋体" w:cs="宋体"/>
          <w:sz w:val="24"/>
          <w:szCs w:val="24"/>
        </w:rPr>
      </w:pPr>
      <w:r>
        <w:rPr>
          <w:rFonts w:ascii="宋体" w:hAnsi="宋体" w:eastAsia="宋体" w:cs="宋体"/>
          <w:spacing w:val="-2"/>
          <w:sz w:val="24"/>
          <w:szCs w:val="24"/>
        </w:rPr>
        <w:t>公司严格按照环保要求，对各种污染物配备各项治理措施，具体</w:t>
      </w:r>
      <w:r>
        <w:rPr>
          <w:rFonts w:ascii="宋体" w:hAnsi="宋体" w:eastAsia="宋体" w:cs="宋体"/>
          <w:spacing w:val="-3"/>
          <w:sz w:val="24"/>
          <w:szCs w:val="24"/>
        </w:rPr>
        <w:t>措施如下：</w:t>
      </w:r>
    </w:p>
    <w:p w14:paraId="3B952CC3">
      <w:pPr>
        <w:spacing w:before="208" w:line="222" w:lineRule="auto"/>
        <w:ind w:left="4547"/>
        <w:rPr>
          <w:rFonts w:ascii="黑体" w:hAnsi="黑体" w:eastAsia="黑体" w:cs="黑体"/>
          <w:sz w:val="19"/>
          <w:szCs w:val="19"/>
        </w:rPr>
      </w:pPr>
      <w:r>
        <w:rPr>
          <w:rFonts w:ascii="黑体" w:hAnsi="黑体" w:eastAsia="黑体" w:cs="黑体"/>
          <w:spacing w:val="7"/>
          <w:sz w:val="19"/>
          <w:szCs w:val="19"/>
        </w:rPr>
        <w:t>污染物治理设备</w:t>
      </w:r>
    </w:p>
    <w:tbl>
      <w:tblPr>
        <w:tblStyle w:val="5"/>
        <w:tblW w:w="8727" w:type="dxa"/>
        <w:tblInd w:w="8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030"/>
        <w:gridCol w:w="2080"/>
        <w:gridCol w:w="1312"/>
        <w:gridCol w:w="801"/>
        <w:gridCol w:w="1770"/>
      </w:tblGrid>
      <w:tr w14:paraId="091A3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34" w:type="dxa"/>
            <w:vAlign w:val="top"/>
          </w:tcPr>
          <w:p w14:paraId="34B1AAC3">
            <w:pPr>
              <w:pStyle w:val="6"/>
              <w:spacing w:before="179" w:line="219" w:lineRule="auto"/>
              <w:ind w:left="158"/>
            </w:pPr>
            <w:r>
              <w:rPr>
                <w:spacing w:val="-4"/>
              </w:rPr>
              <w:t>序号</w:t>
            </w:r>
          </w:p>
        </w:tc>
        <w:tc>
          <w:tcPr>
            <w:tcW w:w="2030" w:type="dxa"/>
            <w:vAlign w:val="top"/>
          </w:tcPr>
          <w:p w14:paraId="34BED598">
            <w:pPr>
              <w:pStyle w:val="6"/>
              <w:spacing w:before="180" w:line="217" w:lineRule="auto"/>
              <w:ind w:left="582"/>
            </w:pPr>
            <w:r>
              <w:rPr>
                <w:spacing w:val="-3"/>
              </w:rPr>
              <w:t>设备名称</w:t>
            </w:r>
          </w:p>
        </w:tc>
        <w:tc>
          <w:tcPr>
            <w:tcW w:w="2080" w:type="dxa"/>
            <w:vAlign w:val="top"/>
          </w:tcPr>
          <w:p w14:paraId="1C482545">
            <w:pPr>
              <w:pStyle w:val="6"/>
              <w:spacing w:before="180" w:line="219" w:lineRule="auto"/>
              <w:ind w:left="836"/>
            </w:pPr>
            <w:r>
              <w:rPr>
                <w:spacing w:val="-5"/>
              </w:rPr>
              <w:t>原理</w:t>
            </w:r>
          </w:p>
        </w:tc>
        <w:tc>
          <w:tcPr>
            <w:tcW w:w="1312" w:type="dxa"/>
            <w:vAlign w:val="top"/>
          </w:tcPr>
          <w:p w14:paraId="15767F1D">
            <w:pPr>
              <w:pStyle w:val="6"/>
              <w:spacing w:before="37" w:line="223" w:lineRule="auto"/>
              <w:ind w:left="287" w:right="210" w:hanging="56"/>
            </w:pPr>
            <w:r>
              <w:rPr>
                <w:spacing w:val="-4"/>
              </w:rPr>
              <w:t>装机功率</w:t>
            </w:r>
            <w:r>
              <w:t xml:space="preserve"> </w:t>
            </w:r>
            <w:r>
              <w:rPr>
                <w:spacing w:val="-4"/>
              </w:rPr>
              <w:t>（</w:t>
            </w:r>
            <w:r>
              <w:rPr>
                <w:rFonts w:ascii="Times New Roman" w:hAnsi="Times New Roman" w:eastAsia="Times New Roman" w:cs="Times New Roman"/>
                <w:spacing w:val="-4"/>
              </w:rPr>
              <w:t>kW</w:t>
            </w:r>
            <w:r>
              <w:rPr>
                <w:spacing w:val="-4"/>
              </w:rPr>
              <w:t>）</w:t>
            </w:r>
          </w:p>
        </w:tc>
        <w:tc>
          <w:tcPr>
            <w:tcW w:w="801" w:type="dxa"/>
            <w:vAlign w:val="top"/>
          </w:tcPr>
          <w:p w14:paraId="38693030">
            <w:pPr>
              <w:pStyle w:val="6"/>
              <w:spacing w:before="37" w:line="223" w:lineRule="auto"/>
              <w:ind w:left="220" w:right="178" w:hanging="31"/>
              <w:rPr>
                <w:rFonts w:ascii="Times New Roman" w:hAnsi="Times New Roman" w:eastAsia="Times New Roman" w:cs="Times New Roman"/>
              </w:rPr>
            </w:pPr>
            <w:r>
              <w:rPr>
                <w:spacing w:val="-7"/>
              </w:rPr>
              <w:t>数量</w:t>
            </w:r>
            <w:r>
              <w:t xml:space="preserve"> </w:t>
            </w:r>
            <w:r>
              <w:rPr>
                <w:rFonts w:ascii="Times New Roman" w:hAnsi="Times New Roman" w:eastAsia="Times New Roman" w:cs="Times New Roman"/>
                <w:spacing w:val="-3"/>
              </w:rPr>
              <w:t>(</w:t>
            </w:r>
            <w:r>
              <w:rPr>
                <w:spacing w:val="-3"/>
              </w:rPr>
              <w:t>台</w:t>
            </w:r>
            <w:r>
              <w:rPr>
                <w:rFonts w:ascii="Times New Roman" w:hAnsi="Times New Roman" w:eastAsia="Times New Roman" w:cs="Times New Roman"/>
                <w:spacing w:val="-3"/>
              </w:rPr>
              <w:t>)</w:t>
            </w:r>
          </w:p>
        </w:tc>
        <w:tc>
          <w:tcPr>
            <w:tcW w:w="1770" w:type="dxa"/>
            <w:vAlign w:val="top"/>
          </w:tcPr>
          <w:p w14:paraId="250D33AB">
            <w:pPr>
              <w:pStyle w:val="6"/>
              <w:spacing w:before="179" w:line="219" w:lineRule="auto"/>
              <w:ind w:left="454"/>
            </w:pPr>
            <w:r>
              <w:rPr>
                <w:spacing w:val="-3"/>
              </w:rPr>
              <w:t>使用场所</w:t>
            </w:r>
          </w:p>
        </w:tc>
      </w:tr>
      <w:tr w14:paraId="67807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734" w:type="dxa"/>
            <w:vAlign w:val="top"/>
          </w:tcPr>
          <w:p w14:paraId="141E9165">
            <w:pPr>
              <w:spacing w:before="127" w:line="187" w:lineRule="auto"/>
              <w:ind w:left="335"/>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030" w:type="dxa"/>
            <w:vAlign w:val="top"/>
          </w:tcPr>
          <w:p w14:paraId="77733D9D">
            <w:pPr>
              <w:pStyle w:val="6"/>
              <w:spacing w:before="90" w:line="219" w:lineRule="auto"/>
              <w:ind w:left="365"/>
            </w:pPr>
            <w:r>
              <w:rPr>
                <w:spacing w:val="-3"/>
              </w:rPr>
              <w:t>粉尘处理装置</w:t>
            </w:r>
          </w:p>
        </w:tc>
        <w:tc>
          <w:tcPr>
            <w:tcW w:w="2080" w:type="dxa"/>
            <w:vAlign w:val="top"/>
          </w:tcPr>
          <w:p w14:paraId="514AC55A">
            <w:pPr>
              <w:pStyle w:val="6"/>
              <w:spacing w:before="89" w:line="217" w:lineRule="auto"/>
              <w:ind w:left="612"/>
            </w:pPr>
            <w:r>
              <w:rPr>
                <w:spacing w:val="-3"/>
              </w:rPr>
              <w:t>布袋除尘</w:t>
            </w:r>
          </w:p>
        </w:tc>
        <w:tc>
          <w:tcPr>
            <w:tcW w:w="1312" w:type="dxa"/>
            <w:vAlign w:val="top"/>
          </w:tcPr>
          <w:p w14:paraId="409EE0A1">
            <w:pPr>
              <w:spacing w:before="127" w:line="187" w:lineRule="auto"/>
              <w:ind w:left="568"/>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15</w:t>
            </w:r>
          </w:p>
        </w:tc>
        <w:tc>
          <w:tcPr>
            <w:tcW w:w="801" w:type="dxa"/>
            <w:vAlign w:val="top"/>
          </w:tcPr>
          <w:p w14:paraId="13A34405">
            <w:pPr>
              <w:spacing w:before="127" w:line="187" w:lineRule="auto"/>
              <w:ind w:left="346"/>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770" w:type="dxa"/>
            <w:vAlign w:val="top"/>
          </w:tcPr>
          <w:p w14:paraId="30690ACA">
            <w:pPr>
              <w:pStyle w:val="6"/>
              <w:spacing w:before="90" w:line="219" w:lineRule="auto"/>
              <w:ind w:left="684"/>
            </w:pPr>
            <w:r>
              <w:rPr>
                <w:spacing w:val="-6"/>
              </w:rPr>
              <w:t>喷砂</w:t>
            </w:r>
          </w:p>
        </w:tc>
      </w:tr>
      <w:tr w14:paraId="6C9A8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4" w:type="dxa"/>
            <w:vAlign w:val="top"/>
          </w:tcPr>
          <w:p w14:paraId="02CFC53B">
            <w:pPr>
              <w:spacing w:before="129" w:line="187" w:lineRule="auto"/>
              <w:ind w:left="31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030" w:type="dxa"/>
            <w:vAlign w:val="top"/>
          </w:tcPr>
          <w:p w14:paraId="69B73966">
            <w:pPr>
              <w:pStyle w:val="6"/>
              <w:spacing w:before="92" w:line="219" w:lineRule="auto"/>
              <w:ind w:left="378"/>
            </w:pPr>
            <w:r>
              <w:rPr>
                <w:spacing w:val="-5"/>
              </w:rPr>
              <w:t>生活污水处理</w:t>
            </w:r>
          </w:p>
        </w:tc>
        <w:tc>
          <w:tcPr>
            <w:tcW w:w="2080" w:type="dxa"/>
            <w:vAlign w:val="top"/>
          </w:tcPr>
          <w:p w14:paraId="6B10D3ED">
            <w:pPr>
              <w:pStyle w:val="6"/>
              <w:spacing w:before="91" w:line="219" w:lineRule="auto"/>
              <w:ind w:left="291"/>
            </w:pPr>
            <w:r>
              <w:rPr>
                <w:spacing w:val="-4"/>
              </w:rPr>
              <w:t>隔油池、化粪池</w:t>
            </w:r>
          </w:p>
        </w:tc>
        <w:tc>
          <w:tcPr>
            <w:tcW w:w="1312" w:type="dxa"/>
            <w:vAlign w:val="top"/>
          </w:tcPr>
          <w:p w14:paraId="5CC8D6BB">
            <w:pPr>
              <w:spacing w:before="132" w:line="184" w:lineRule="auto"/>
              <w:ind w:left="524"/>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7.5</w:t>
            </w:r>
          </w:p>
        </w:tc>
        <w:tc>
          <w:tcPr>
            <w:tcW w:w="801" w:type="dxa"/>
            <w:vAlign w:val="top"/>
          </w:tcPr>
          <w:p w14:paraId="5665DAF4">
            <w:pPr>
              <w:spacing w:before="129" w:line="187"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770" w:type="dxa"/>
            <w:vAlign w:val="top"/>
          </w:tcPr>
          <w:p w14:paraId="51CB7A6F">
            <w:pPr>
              <w:pStyle w:val="6"/>
              <w:spacing w:before="92" w:line="222" w:lineRule="auto"/>
              <w:ind w:left="673"/>
            </w:pPr>
            <w:r>
              <w:rPr>
                <w:spacing w:val="-4"/>
              </w:rPr>
              <w:t>厂区</w:t>
            </w:r>
          </w:p>
        </w:tc>
      </w:tr>
      <w:tr w14:paraId="47B9A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34" w:type="dxa"/>
            <w:vAlign w:val="top"/>
          </w:tcPr>
          <w:p w14:paraId="1C1390E6">
            <w:pPr>
              <w:spacing w:before="130" w:line="187" w:lineRule="auto"/>
              <w:ind w:left="31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030" w:type="dxa"/>
            <w:vAlign w:val="top"/>
          </w:tcPr>
          <w:p w14:paraId="21CF7E6D">
            <w:pPr>
              <w:pStyle w:val="6"/>
              <w:spacing w:before="93" w:line="219" w:lineRule="auto"/>
              <w:ind w:left="478"/>
            </w:pPr>
            <w:r>
              <w:rPr>
                <w:spacing w:val="-3"/>
              </w:rPr>
              <w:t>废水处理站</w:t>
            </w:r>
          </w:p>
        </w:tc>
        <w:tc>
          <w:tcPr>
            <w:tcW w:w="2080" w:type="dxa"/>
            <w:vAlign w:val="top"/>
          </w:tcPr>
          <w:p w14:paraId="40AA266E">
            <w:pPr>
              <w:pStyle w:val="6"/>
              <w:spacing w:before="92" w:line="231" w:lineRule="auto"/>
              <w:ind w:left="561"/>
            </w:pPr>
            <w:r>
              <w:rPr>
                <w:spacing w:val="-6"/>
              </w:rPr>
              <w:t>生化</w:t>
            </w:r>
            <w:r>
              <w:rPr>
                <w:rFonts w:ascii="Times New Roman" w:hAnsi="Times New Roman" w:eastAsia="Times New Roman" w:cs="Times New Roman"/>
                <w:spacing w:val="-6"/>
              </w:rPr>
              <w:t>+</w:t>
            </w:r>
            <w:r>
              <w:rPr>
                <w:spacing w:val="-6"/>
              </w:rPr>
              <w:t>物化</w:t>
            </w:r>
          </w:p>
        </w:tc>
        <w:tc>
          <w:tcPr>
            <w:tcW w:w="1312" w:type="dxa"/>
            <w:vAlign w:val="top"/>
          </w:tcPr>
          <w:p w14:paraId="748D773E">
            <w:pPr>
              <w:spacing w:before="133" w:line="184" w:lineRule="auto"/>
              <w:ind w:left="526"/>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5.5</w:t>
            </w:r>
          </w:p>
        </w:tc>
        <w:tc>
          <w:tcPr>
            <w:tcW w:w="801" w:type="dxa"/>
            <w:vAlign w:val="top"/>
          </w:tcPr>
          <w:p w14:paraId="2C48C8CF">
            <w:pPr>
              <w:spacing w:before="130" w:line="187"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770" w:type="dxa"/>
            <w:vAlign w:val="top"/>
          </w:tcPr>
          <w:p w14:paraId="00A4279B">
            <w:pPr>
              <w:pStyle w:val="6"/>
              <w:spacing w:before="92" w:line="219" w:lineRule="auto"/>
              <w:ind w:left="347"/>
            </w:pPr>
            <w:r>
              <w:rPr>
                <w:spacing w:val="-3"/>
              </w:rPr>
              <w:t>清洗线附件</w:t>
            </w:r>
          </w:p>
        </w:tc>
      </w:tr>
      <w:tr w14:paraId="6B875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34" w:type="dxa"/>
            <w:vAlign w:val="top"/>
          </w:tcPr>
          <w:p w14:paraId="6D6F2F51">
            <w:pPr>
              <w:spacing w:before="133" w:line="187" w:lineRule="auto"/>
              <w:ind w:left="312"/>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030" w:type="dxa"/>
            <w:vAlign w:val="top"/>
          </w:tcPr>
          <w:p w14:paraId="1A7EC338">
            <w:pPr>
              <w:pStyle w:val="6"/>
              <w:spacing w:before="95" w:line="219" w:lineRule="auto"/>
              <w:ind w:left="257"/>
            </w:pPr>
            <w:r>
              <w:rPr>
                <w:spacing w:val="-3"/>
              </w:rPr>
              <w:t>乳化液处理系统</w:t>
            </w:r>
          </w:p>
        </w:tc>
        <w:tc>
          <w:tcPr>
            <w:tcW w:w="2080" w:type="dxa"/>
            <w:vAlign w:val="top"/>
          </w:tcPr>
          <w:p w14:paraId="32C76A28">
            <w:pPr>
              <w:pStyle w:val="6"/>
              <w:spacing w:before="95" w:line="219" w:lineRule="auto"/>
              <w:ind w:left="612"/>
            </w:pPr>
            <w:r>
              <w:rPr>
                <w:spacing w:val="-3"/>
              </w:rPr>
              <w:t>循环过滤</w:t>
            </w:r>
          </w:p>
        </w:tc>
        <w:tc>
          <w:tcPr>
            <w:tcW w:w="1312" w:type="dxa"/>
            <w:vAlign w:val="top"/>
          </w:tcPr>
          <w:p w14:paraId="555B73E0">
            <w:pPr>
              <w:spacing w:before="133" w:line="187" w:lineRule="auto"/>
              <w:ind w:left="568"/>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801" w:type="dxa"/>
            <w:vAlign w:val="top"/>
          </w:tcPr>
          <w:p w14:paraId="4CE2C82D">
            <w:pPr>
              <w:spacing w:before="133" w:line="187" w:lineRule="auto"/>
              <w:ind w:left="367"/>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770" w:type="dxa"/>
            <w:vAlign w:val="top"/>
          </w:tcPr>
          <w:p w14:paraId="0F241D83">
            <w:pPr>
              <w:pStyle w:val="6"/>
              <w:spacing w:before="95" w:line="219" w:lineRule="auto"/>
              <w:ind w:left="458"/>
            </w:pPr>
            <w:r>
              <w:rPr>
                <w:spacing w:val="-4"/>
              </w:rPr>
              <w:t>危废仓库</w:t>
            </w:r>
          </w:p>
        </w:tc>
      </w:tr>
    </w:tbl>
    <w:p w14:paraId="622D657A">
      <w:pPr>
        <w:pStyle w:val="2"/>
      </w:pPr>
    </w:p>
    <w:p w14:paraId="6A5166EF">
      <w:pPr>
        <w:sectPr>
          <w:headerReference r:id="rId20" w:type="default"/>
          <w:footerReference r:id="rId21" w:type="default"/>
          <w:pgSz w:w="11912" w:h="16841"/>
          <w:pgMar w:top="1074" w:right="1589" w:bottom="1360" w:left="720" w:header="399" w:footer="1200" w:gutter="0"/>
          <w:cols w:space="720" w:num="1"/>
        </w:sectPr>
      </w:pPr>
    </w:p>
    <w:p w14:paraId="7D0E483E">
      <w:pPr>
        <w:pStyle w:val="2"/>
        <w:spacing w:line="311" w:lineRule="auto"/>
      </w:pPr>
    </w:p>
    <w:p w14:paraId="77F39AA3">
      <w:pPr>
        <w:pStyle w:val="2"/>
        <w:spacing w:line="311" w:lineRule="auto"/>
      </w:pPr>
    </w:p>
    <w:p w14:paraId="02232AD6">
      <w:pPr>
        <w:spacing w:line="3120" w:lineRule="exact"/>
        <w:ind w:firstLine="1069"/>
      </w:pPr>
      <w:r>
        <w:rPr>
          <w:position w:val="-62"/>
        </w:rPr>
        <w:drawing>
          <wp:inline distT="0" distB="0" distL="0" distR="0">
            <wp:extent cx="5289550" cy="19805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3"/>
                    <a:stretch>
                      <a:fillRect/>
                    </a:stretch>
                  </pic:blipFill>
                  <pic:spPr>
                    <a:xfrm>
                      <a:off x="0" y="0"/>
                      <a:ext cx="5289550" cy="1980818"/>
                    </a:xfrm>
                    <a:prstGeom prst="rect">
                      <a:avLst/>
                    </a:prstGeom>
                  </pic:spPr>
                </pic:pic>
              </a:graphicData>
            </a:graphic>
          </wp:inline>
        </w:drawing>
      </w:r>
    </w:p>
    <w:p w14:paraId="7A1A45B2">
      <w:pPr>
        <w:spacing w:before="34" w:line="213" w:lineRule="auto"/>
        <w:ind w:left="4533"/>
        <w:rPr>
          <w:rFonts w:ascii="仿宋" w:hAnsi="仿宋" w:eastAsia="仿宋" w:cs="仿宋"/>
          <w:sz w:val="24"/>
          <w:szCs w:val="24"/>
        </w:rPr>
      </w:pPr>
      <w:r>
        <w:rPr>
          <w:rFonts w:ascii="仿宋" w:hAnsi="仿宋" w:eastAsia="仿宋" w:cs="仿宋"/>
          <w:spacing w:val="-3"/>
          <w:sz w:val="24"/>
          <w:szCs w:val="24"/>
        </w:rPr>
        <w:t>废气处理设施</w:t>
      </w:r>
    </w:p>
    <w:p w14:paraId="61FD7C34">
      <w:pPr>
        <w:spacing w:line="6030" w:lineRule="exact"/>
        <w:ind w:firstLine="980"/>
      </w:pPr>
      <w:r>
        <w:rPr>
          <w:position w:val="-120"/>
        </w:rPr>
        <w:drawing>
          <wp:inline distT="0" distB="0" distL="0" distR="0">
            <wp:extent cx="5421630" cy="382905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4"/>
                    <a:stretch>
                      <a:fillRect/>
                    </a:stretch>
                  </pic:blipFill>
                  <pic:spPr>
                    <a:xfrm>
                      <a:off x="0" y="0"/>
                      <a:ext cx="5421757" cy="3829176"/>
                    </a:xfrm>
                    <a:prstGeom prst="rect">
                      <a:avLst/>
                    </a:prstGeom>
                  </pic:spPr>
                </pic:pic>
              </a:graphicData>
            </a:graphic>
          </wp:inline>
        </w:drawing>
      </w:r>
    </w:p>
    <w:p w14:paraId="00E20328">
      <w:pPr>
        <w:spacing w:before="37" w:line="218" w:lineRule="auto"/>
        <w:ind w:left="4173"/>
        <w:rPr>
          <w:rFonts w:ascii="仿宋" w:hAnsi="仿宋" w:eastAsia="仿宋" w:cs="仿宋"/>
          <w:sz w:val="24"/>
          <w:szCs w:val="24"/>
        </w:rPr>
      </w:pPr>
      <w:r>
        <w:rPr>
          <w:rFonts w:ascii="仿宋" w:hAnsi="仿宋" w:eastAsia="仿宋" w:cs="仿宋"/>
          <w:spacing w:val="-2"/>
          <w:sz w:val="24"/>
          <w:szCs w:val="24"/>
        </w:rPr>
        <w:t>乳化液过滤净化设施</w:t>
      </w:r>
    </w:p>
    <w:p w14:paraId="46A2C15A">
      <w:pPr>
        <w:spacing w:before="28" w:line="220" w:lineRule="auto"/>
        <w:ind w:left="1473"/>
        <w:rPr>
          <w:rFonts w:ascii="宋体" w:hAnsi="宋体" w:eastAsia="宋体" w:cs="宋体"/>
          <w:sz w:val="24"/>
          <w:szCs w:val="24"/>
        </w:rPr>
      </w:pPr>
      <w:r>
        <w:rPr>
          <w:rFonts w:ascii="宋体" w:hAnsi="宋体" w:eastAsia="宋体" w:cs="宋体"/>
          <w:spacing w:val="-2"/>
          <w:sz w:val="24"/>
          <w:szCs w:val="24"/>
        </w:rPr>
        <w:t>2三废治理达标情况</w:t>
      </w:r>
    </w:p>
    <w:p w14:paraId="688F8EAA">
      <w:pPr>
        <w:spacing w:before="182" w:line="220" w:lineRule="auto"/>
        <w:ind w:left="1488"/>
        <w:rPr>
          <w:rFonts w:ascii="宋体" w:hAnsi="宋体" w:eastAsia="宋体" w:cs="宋体"/>
          <w:sz w:val="24"/>
          <w:szCs w:val="24"/>
        </w:rPr>
      </w:pPr>
      <w:r>
        <w:rPr>
          <w:rFonts w:ascii="宋体" w:hAnsi="宋体" w:eastAsia="宋体" w:cs="宋体"/>
          <w:spacing w:val="-4"/>
          <w:sz w:val="24"/>
          <w:szCs w:val="24"/>
        </w:rPr>
        <w:t>1）废气达标分析</w:t>
      </w:r>
    </w:p>
    <w:p w14:paraId="3B007831">
      <w:pPr>
        <w:spacing w:line="143" w:lineRule="exact"/>
      </w:pPr>
    </w:p>
    <w:tbl>
      <w:tblPr>
        <w:tblStyle w:val="5"/>
        <w:tblW w:w="8730" w:type="dxa"/>
        <w:tblInd w:w="8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6"/>
        <w:gridCol w:w="1338"/>
        <w:gridCol w:w="1492"/>
        <w:gridCol w:w="1939"/>
        <w:gridCol w:w="1725"/>
      </w:tblGrid>
      <w:tr w14:paraId="0E711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236" w:type="dxa"/>
            <w:vAlign w:val="top"/>
          </w:tcPr>
          <w:p w14:paraId="3C15BE05">
            <w:pPr>
              <w:pStyle w:val="6"/>
              <w:spacing w:before="170" w:line="218" w:lineRule="auto"/>
              <w:ind w:left="817"/>
              <w:rPr>
                <w:sz w:val="21"/>
                <w:szCs w:val="21"/>
              </w:rPr>
            </w:pPr>
            <w:r>
              <w:rPr>
                <w:spacing w:val="-4"/>
                <w:sz w:val="21"/>
                <w:szCs w:val="21"/>
              </w:rPr>
              <w:t>污染物</w:t>
            </w:r>
          </w:p>
        </w:tc>
        <w:tc>
          <w:tcPr>
            <w:tcW w:w="1338" w:type="dxa"/>
            <w:vAlign w:val="top"/>
          </w:tcPr>
          <w:p w14:paraId="218940F7">
            <w:pPr>
              <w:pStyle w:val="6"/>
              <w:spacing w:before="34" w:line="223" w:lineRule="auto"/>
              <w:ind w:left="190" w:right="189" w:firstLine="66"/>
              <w:rPr>
                <w:sz w:val="21"/>
                <w:szCs w:val="21"/>
              </w:rPr>
            </w:pPr>
            <w:r>
              <w:rPr>
                <w:spacing w:val="-3"/>
                <w:sz w:val="21"/>
                <w:szCs w:val="21"/>
              </w:rPr>
              <w:t>排放浓度</w:t>
            </w:r>
            <w:r>
              <w:rPr>
                <w:spacing w:val="1"/>
                <w:sz w:val="21"/>
                <w:szCs w:val="21"/>
              </w:rPr>
              <w:t xml:space="preserve"> </w:t>
            </w:r>
            <w:r>
              <w:rPr>
                <w:spacing w:val="-10"/>
                <w:sz w:val="21"/>
                <w:szCs w:val="21"/>
              </w:rPr>
              <w:t>（</w:t>
            </w:r>
            <w:r>
              <w:rPr>
                <w:rFonts w:ascii="Times New Roman" w:hAnsi="Times New Roman" w:eastAsia="Times New Roman" w:cs="Times New Roman"/>
                <w:spacing w:val="-10"/>
                <w:sz w:val="21"/>
                <w:szCs w:val="21"/>
              </w:rPr>
              <w:t>mg/m</w:t>
            </w:r>
            <w:r>
              <w:rPr>
                <w:rFonts w:ascii="Calibri" w:hAnsi="Calibri" w:eastAsia="Calibri" w:cs="Calibri"/>
                <w:spacing w:val="-10"/>
                <w:sz w:val="21"/>
                <w:szCs w:val="21"/>
              </w:rPr>
              <w:t>3</w:t>
            </w:r>
            <w:r>
              <w:rPr>
                <w:spacing w:val="-10"/>
                <w:sz w:val="21"/>
                <w:szCs w:val="21"/>
              </w:rPr>
              <w:t>）</w:t>
            </w:r>
          </w:p>
        </w:tc>
        <w:tc>
          <w:tcPr>
            <w:tcW w:w="1492" w:type="dxa"/>
            <w:vAlign w:val="top"/>
          </w:tcPr>
          <w:p w14:paraId="3C578F13">
            <w:pPr>
              <w:pStyle w:val="6"/>
              <w:spacing w:before="34" w:line="223" w:lineRule="auto"/>
              <w:ind w:left="268" w:right="265" w:firstLine="68"/>
              <w:rPr>
                <w:sz w:val="21"/>
                <w:szCs w:val="21"/>
              </w:rPr>
            </w:pPr>
            <w:r>
              <w:rPr>
                <w:spacing w:val="-3"/>
                <w:sz w:val="21"/>
                <w:szCs w:val="21"/>
              </w:rPr>
              <w:t>标准限值</w:t>
            </w:r>
            <w:r>
              <w:rPr>
                <w:sz w:val="21"/>
                <w:szCs w:val="21"/>
              </w:rPr>
              <w:t xml:space="preserve"> </w:t>
            </w:r>
            <w:r>
              <w:rPr>
                <w:spacing w:val="-10"/>
                <w:sz w:val="21"/>
                <w:szCs w:val="21"/>
              </w:rPr>
              <w:t>（</w:t>
            </w:r>
            <w:r>
              <w:rPr>
                <w:rFonts w:ascii="Times New Roman" w:hAnsi="Times New Roman" w:eastAsia="Times New Roman" w:cs="Times New Roman"/>
                <w:spacing w:val="-10"/>
                <w:sz w:val="21"/>
                <w:szCs w:val="21"/>
              </w:rPr>
              <w:t>mg/m</w:t>
            </w:r>
            <w:r>
              <w:rPr>
                <w:rFonts w:ascii="Calibri" w:hAnsi="Calibri" w:eastAsia="Calibri" w:cs="Calibri"/>
                <w:spacing w:val="-10"/>
                <w:sz w:val="21"/>
                <w:szCs w:val="21"/>
              </w:rPr>
              <w:t>3</w:t>
            </w:r>
            <w:r>
              <w:rPr>
                <w:spacing w:val="-10"/>
                <w:sz w:val="21"/>
                <w:szCs w:val="21"/>
              </w:rPr>
              <w:t>）</w:t>
            </w:r>
          </w:p>
        </w:tc>
        <w:tc>
          <w:tcPr>
            <w:tcW w:w="1939" w:type="dxa"/>
            <w:vAlign w:val="top"/>
          </w:tcPr>
          <w:p w14:paraId="2C455FE7">
            <w:pPr>
              <w:pStyle w:val="6"/>
              <w:spacing w:before="171" w:line="233" w:lineRule="auto"/>
              <w:ind w:left="331"/>
              <w:rPr>
                <w:sz w:val="21"/>
                <w:szCs w:val="21"/>
              </w:rPr>
            </w:pPr>
            <w:r>
              <w:rPr>
                <w:spacing w:val="-3"/>
                <w:sz w:val="21"/>
                <w:szCs w:val="21"/>
              </w:rPr>
              <w:t>总排放量（</w:t>
            </w:r>
            <w:r>
              <w:rPr>
                <w:rFonts w:ascii="Times New Roman" w:hAnsi="Times New Roman" w:eastAsia="Times New Roman" w:cs="Times New Roman"/>
                <w:spacing w:val="-3"/>
                <w:sz w:val="21"/>
                <w:szCs w:val="21"/>
              </w:rPr>
              <w:t>t</w:t>
            </w:r>
            <w:r>
              <w:rPr>
                <w:spacing w:val="-3"/>
                <w:sz w:val="21"/>
                <w:szCs w:val="21"/>
              </w:rPr>
              <w:t>）</w:t>
            </w:r>
          </w:p>
        </w:tc>
        <w:tc>
          <w:tcPr>
            <w:tcW w:w="1725" w:type="dxa"/>
            <w:vAlign w:val="top"/>
          </w:tcPr>
          <w:p w14:paraId="5A2F0229">
            <w:pPr>
              <w:pStyle w:val="6"/>
              <w:spacing w:before="171" w:line="232" w:lineRule="auto"/>
              <w:ind w:left="221"/>
              <w:rPr>
                <w:sz w:val="21"/>
                <w:szCs w:val="21"/>
              </w:rPr>
            </w:pPr>
            <w:r>
              <w:rPr>
                <w:spacing w:val="-3"/>
                <w:sz w:val="21"/>
                <w:szCs w:val="21"/>
              </w:rPr>
              <w:t>总量控制（</w:t>
            </w:r>
            <w:r>
              <w:rPr>
                <w:rFonts w:ascii="Times New Roman" w:hAnsi="Times New Roman" w:eastAsia="Times New Roman" w:cs="Times New Roman"/>
                <w:spacing w:val="-3"/>
                <w:sz w:val="21"/>
                <w:szCs w:val="21"/>
              </w:rPr>
              <w:t>t</w:t>
            </w:r>
            <w:r>
              <w:rPr>
                <w:spacing w:val="-3"/>
                <w:sz w:val="21"/>
                <w:szCs w:val="21"/>
              </w:rPr>
              <w:t>）</w:t>
            </w:r>
          </w:p>
        </w:tc>
      </w:tr>
      <w:tr w14:paraId="05480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236" w:type="dxa"/>
            <w:vAlign w:val="top"/>
          </w:tcPr>
          <w:p w14:paraId="35135640">
            <w:pPr>
              <w:pStyle w:val="6"/>
              <w:spacing w:before="123" w:line="219" w:lineRule="auto"/>
              <w:ind w:left="610"/>
              <w:rPr>
                <w:sz w:val="21"/>
                <w:szCs w:val="21"/>
              </w:rPr>
            </w:pPr>
            <w:r>
              <w:rPr>
                <w:spacing w:val="-4"/>
                <w:sz w:val="21"/>
                <w:szCs w:val="21"/>
              </w:rPr>
              <w:t>非甲烷总烃</w:t>
            </w:r>
          </w:p>
        </w:tc>
        <w:tc>
          <w:tcPr>
            <w:tcW w:w="1338" w:type="dxa"/>
            <w:vAlign w:val="top"/>
          </w:tcPr>
          <w:p w14:paraId="3334AA99">
            <w:pPr>
              <w:spacing w:before="161" w:line="187" w:lineRule="auto"/>
              <w:ind w:left="505"/>
              <w:rPr>
                <w:rFonts w:ascii="Times New Roman" w:hAnsi="Times New Roman" w:eastAsia="Times New Roman" w:cs="Times New Roman"/>
                <w:sz w:val="21"/>
                <w:szCs w:val="21"/>
              </w:rPr>
            </w:pPr>
            <w:r>
              <w:rPr>
                <w:rFonts w:hint="default" w:ascii="Times New Roman" w:hAnsi="Times New Roman" w:cs="Times New Roman"/>
                <w:sz w:val="22"/>
                <w:szCs w:val="22"/>
              </w:rPr>
              <w:t>1.26</w:t>
            </w:r>
          </w:p>
        </w:tc>
        <w:tc>
          <w:tcPr>
            <w:tcW w:w="1492" w:type="dxa"/>
            <w:vAlign w:val="top"/>
          </w:tcPr>
          <w:p w14:paraId="58EB0F8A">
            <w:pPr>
              <w:spacing w:before="161" w:line="187" w:lineRule="auto"/>
              <w:ind w:left="694"/>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939" w:type="dxa"/>
            <w:vAlign w:val="top"/>
          </w:tcPr>
          <w:p w14:paraId="15C0C2B1">
            <w:pPr>
              <w:spacing w:before="161" w:line="187" w:lineRule="auto"/>
              <w:ind w:left="685"/>
              <w:rPr>
                <w:rFonts w:ascii="Times New Roman" w:hAnsi="Times New Roman" w:eastAsia="Times New Roman" w:cs="Times New Roman"/>
                <w:sz w:val="21"/>
                <w:szCs w:val="21"/>
              </w:rPr>
            </w:pPr>
            <w:r>
              <w:rPr>
                <w:rFonts w:hint="default" w:ascii="Times New Roman" w:hAnsi="Times New Roman" w:cs="Times New Roman"/>
                <w:sz w:val="22"/>
                <w:szCs w:val="22"/>
                <w:lang w:val="en-US" w:eastAsia="zh-CN"/>
              </w:rPr>
              <w:t>0.0045</w:t>
            </w:r>
          </w:p>
        </w:tc>
        <w:tc>
          <w:tcPr>
            <w:tcW w:w="1725" w:type="dxa"/>
            <w:vAlign w:val="top"/>
          </w:tcPr>
          <w:p w14:paraId="0E255129">
            <w:pPr>
              <w:spacing w:before="161" w:line="187" w:lineRule="auto"/>
              <w:ind w:left="57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0.0087</w:t>
            </w:r>
          </w:p>
        </w:tc>
      </w:tr>
      <w:tr w14:paraId="20E91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236" w:type="dxa"/>
            <w:vAlign w:val="top"/>
          </w:tcPr>
          <w:p w14:paraId="6B9DAB4E">
            <w:pPr>
              <w:pStyle w:val="6"/>
              <w:spacing w:before="124" w:line="218" w:lineRule="auto"/>
              <w:ind w:left="813"/>
              <w:rPr>
                <w:sz w:val="21"/>
                <w:szCs w:val="21"/>
              </w:rPr>
            </w:pPr>
            <w:r>
              <w:rPr>
                <w:spacing w:val="-3"/>
                <w:sz w:val="21"/>
                <w:szCs w:val="21"/>
              </w:rPr>
              <w:t>颗粒物</w:t>
            </w:r>
          </w:p>
        </w:tc>
        <w:tc>
          <w:tcPr>
            <w:tcW w:w="1338" w:type="dxa"/>
            <w:vAlign w:val="top"/>
          </w:tcPr>
          <w:p w14:paraId="3279BB01">
            <w:pPr>
              <w:spacing w:before="163" w:line="187" w:lineRule="auto"/>
              <w:ind w:left="43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0.335</w:t>
            </w:r>
          </w:p>
        </w:tc>
        <w:tc>
          <w:tcPr>
            <w:tcW w:w="1492" w:type="dxa"/>
            <w:vAlign w:val="top"/>
          </w:tcPr>
          <w:p w14:paraId="2B7A70E3">
            <w:pPr>
              <w:spacing w:before="163" w:line="187" w:lineRule="auto"/>
              <w:ind w:left="71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39" w:type="dxa"/>
            <w:vAlign w:val="top"/>
          </w:tcPr>
          <w:p w14:paraId="47C21DAE">
            <w:pPr>
              <w:spacing w:before="163" w:line="187" w:lineRule="auto"/>
              <w:ind w:left="738"/>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0.025</w:t>
            </w:r>
          </w:p>
        </w:tc>
        <w:tc>
          <w:tcPr>
            <w:tcW w:w="1725" w:type="dxa"/>
            <w:vAlign w:val="top"/>
          </w:tcPr>
          <w:p w14:paraId="4132DEB4">
            <w:pPr>
              <w:spacing w:before="163" w:line="187" w:lineRule="auto"/>
              <w:ind w:left="681"/>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0.03</w:t>
            </w:r>
          </w:p>
        </w:tc>
      </w:tr>
      <w:tr w14:paraId="19887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236" w:type="dxa"/>
            <w:vAlign w:val="top"/>
          </w:tcPr>
          <w:p w14:paraId="494E2BE3">
            <w:pPr>
              <w:pStyle w:val="6"/>
              <w:spacing w:before="125" w:line="217" w:lineRule="auto"/>
              <w:ind w:left="609"/>
              <w:rPr>
                <w:sz w:val="21"/>
                <w:szCs w:val="21"/>
              </w:rPr>
            </w:pPr>
            <w:r>
              <w:rPr>
                <w:spacing w:val="-4"/>
                <w:sz w:val="21"/>
                <w:szCs w:val="21"/>
              </w:rPr>
              <w:t>符合性评价</w:t>
            </w:r>
          </w:p>
        </w:tc>
        <w:tc>
          <w:tcPr>
            <w:tcW w:w="2830" w:type="dxa"/>
            <w:gridSpan w:val="2"/>
            <w:vAlign w:val="top"/>
          </w:tcPr>
          <w:p w14:paraId="42E79390">
            <w:pPr>
              <w:pStyle w:val="6"/>
              <w:spacing w:before="125" w:line="218" w:lineRule="auto"/>
              <w:ind w:left="800"/>
              <w:rPr>
                <w:sz w:val="21"/>
                <w:szCs w:val="21"/>
              </w:rPr>
            </w:pPr>
            <w:r>
              <w:rPr>
                <w:spacing w:val="-3"/>
                <w:sz w:val="21"/>
                <w:szCs w:val="21"/>
              </w:rPr>
              <w:t>符合排放限值</w:t>
            </w:r>
          </w:p>
        </w:tc>
        <w:tc>
          <w:tcPr>
            <w:tcW w:w="3664" w:type="dxa"/>
            <w:gridSpan w:val="2"/>
            <w:vAlign w:val="top"/>
          </w:tcPr>
          <w:p w14:paraId="5F9B3D14">
            <w:pPr>
              <w:pStyle w:val="6"/>
              <w:spacing w:before="125" w:line="218" w:lineRule="auto"/>
              <w:ind w:left="1217"/>
              <w:rPr>
                <w:sz w:val="21"/>
                <w:szCs w:val="21"/>
              </w:rPr>
            </w:pPr>
            <w:r>
              <w:rPr>
                <w:spacing w:val="-3"/>
                <w:sz w:val="21"/>
                <w:szCs w:val="21"/>
              </w:rPr>
              <w:t>符合总量控制</w:t>
            </w:r>
          </w:p>
        </w:tc>
      </w:tr>
    </w:tbl>
    <w:p w14:paraId="4D4286B6">
      <w:pPr>
        <w:pStyle w:val="2"/>
      </w:pPr>
    </w:p>
    <w:p w14:paraId="471C2DEF">
      <w:pPr>
        <w:sectPr>
          <w:headerReference r:id="rId22" w:type="default"/>
          <w:footerReference r:id="rId23" w:type="default"/>
          <w:pgSz w:w="11912" w:h="16841"/>
          <w:pgMar w:top="1074" w:right="1586" w:bottom="1360" w:left="720" w:header="399" w:footer="1200" w:gutter="0"/>
          <w:cols w:space="720" w:num="1"/>
        </w:sectPr>
      </w:pPr>
    </w:p>
    <w:p w14:paraId="23619FB1">
      <w:pPr>
        <w:pStyle w:val="2"/>
        <w:spacing w:line="289" w:lineRule="auto"/>
      </w:pPr>
    </w:p>
    <w:p w14:paraId="3181712E">
      <w:pPr>
        <w:pStyle w:val="2"/>
        <w:spacing w:line="289" w:lineRule="auto"/>
      </w:pPr>
    </w:p>
    <w:p w14:paraId="4271A400">
      <w:pPr>
        <w:spacing w:before="78" w:line="220" w:lineRule="auto"/>
        <w:ind w:left="1473"/>
        <w:rPr>
          <w:rFonts w:ascii="宋体" w:hAnsi="宋体" w:eastAsia="宋体" w:cs="宋体"/>
          <w:sz w:val="24"/>
          <w:szCs w:val="24"/>
        </w:rPr>
      </w:pPr>
      <w:r>
        <w:rPr>
          <w:rFonts w:ascii="宋体" w:hAnsi="宋体" w:eastAsia="宋体" w:cs="宋体"/>
          <w:spacing w:val="-3"/>
          <w:sz w:val="24"/>
          <w:szCs w:val="24"/>
        </w:rPr>
        <w:t>2）废水达标分析</w:t>
      </w:r>
    </w:p>
    <w:p w14:paraId="1E5302B6">
      <w:pPr>
        <w:spacing w:before="26" w:line="212" w:lineRule="auto"/>
        <w:ind w:left="4533"/>
        <w:rPr>
          <w:rFonts w:ascii="仿宋" w:hAnsi="仿宋" w:eastAsia="仿宋" w:cs="仿宋"/>
          <w:sz w:val="24"/>
          <w:szCs w:val="24"/>
        </w:rPr>
      </w:pPr>
      <w:r>
        <w:rPr>
          <w:rFonts w:ascii="仿宋" w:hAnsi="仿宋" w:eastAsia="仿宋" w:cs="仿宋"/>
          <w:spacing w:val="-3"/>
          <w:sz w:val="24"/>
          <w:szCs w:val="24"/>
        </w:rPr>
        <w:t>废水达标分析</w:t>
      </w:r>
    </w:p>
    <w:tbl>
      <w:tblPr>
        <w:tblStyle w:val="5"/>
        <w:tblW w:w="8523" w:type="dxa"/>
        <w:tblInd w:w="9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940"/>
        <w:gridCol w:w="1207"/>
        <w:gridCol w:w="1074"/>
        <w:gridCol w:w="804"/>
        <w:gridCol w:w="806"/>
        <w:gridCol w:w="1610"/>
        <w:gridCol w:w="1286"/>
      </w:tblGrid>
      <w:tr w14:paraId="0CB7F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96" w:type="dxa"/>
            <w:vAlign w:val="top"/>
          </w:tcPr>
          <w:p w14:paraId="2835DADB">
            <w:pPr>
              <w:pStyle w:val="6"/>
              <w:spacing w:before="170" w:line="218" w:lineRule="auto"/>
              <w:ind w:left="97"/>
              <w:rPr>
                <w:rFonts w:hint="default" w:ascii="Times New Roman" w:hAnsi="Times New Roman" w:cs="Times New Roman"/>
                <w:sz w:val="21"/>
                <w:szCs w:val="21"/>
              </w:rPr>
            </w:pPr>
            <w:r>
              <w:rPr>
                <w:rFonts w:hint="default" w:ascii="Times New Roman" w:hAnsi="Times New Roman" w:cs="Times New Roman"/>
                <w:spacing w:val="-4"/>
                <w:sz w:val="21"/>
                <w:szCs w:val="21"/>
              </w:rPr>
              <w:t>污染物</w:t>
            </w:r>
          </w:p>
        </w:tc>
        <w:tc>
          <w:tcPr>
            <w:tcW w:w="940" w:type="dxa"/>
            <w:vAlign w:val="top"/>
          </w:tcPr>
          <w:p w14:paraId="6C8A2F07">
            <w:pPr>
              <w:pStyle w:val="6"/>
              <w:spacing w:before="171" w:line="219" w:lineRule="auto"/>
              <w:ind w:left="160"/>
              <w:rPr>
                <w:rFonts w:hint="default" w:ascii="Times New Roman" w:hAnsi="Times New Roman" w:cs="Times New Roman"/>
                <w:sz w:val="21"/>
                <w:szCs w:val="21"/>
              </w:rPr>
            </w:pPr>
            <w:r>
              <w:rPr>
                <w:rFonts w:hint="default" w:ascii="Times New Roman" w:hAnsi="Times New Roman" w:cs="Times New Roman"/>
                <w:spacing w:val="-2"/>
                <w:sz w:val="21"/>
                <w:szCs w:val="21"/>
              </w:rPr>
              <w:t>排放口</w:t>
            </w:r>
          </w:p>
        </w:tc>
        <w:tc>
          <w:tcPr>
            <w:tcW w:w="1207" w:type="dxa"/>
            <w:vAlign w:val="top"/>
          </w:tcPr>
          <w:p w14:paraId="591FDEA9">
            <w:pPr>
              <w:pStyle w:val="6"/>
              <w:spacing w:before="33" w:line="224" w:lineRule="auto"/>
              <w:ind w:left="122" w:right="182" w:firstLine="66"/>
              <w:rPr>
                <w:rFonts w:hint="default" w:ascii="Times New Roman" w:hAnsi="Times New Roman" w:cs="Times New Roman"/>
                <w:sz w:val="21"/>
                <w:szCs w:val="21"/>
              </w:rPr>
            </w:pPr>
            <w:r>
              <w:rPr>
                <w:rFonts w:hint="default" w:ascii="Times New Roman" w:hAnsi="Times New Roman" w:cs="Times New Roman"/>
                <w:spacing w:val="-3"/>
                <w:sz w:val="21"/>
                <w:szCs w:val="21"/>
              </w:rPr>
              <w:t>排放浓度</w:t>
            </w:r>
            <w:r>
              <w:rPr>
                <w:rFonts w:hint="default" w:ascii="Times New Roman" w:hAnsi="Times New Roman" w:cs="Times New Roman"/>
                <w:spacing w:val="1"/>
                <w:sz w:val="21"/>
                <w:szCs w:val="21"/>
              </w:rPr>
              <w:t xml:space="preserve"> </w:t>
            </w:r>
            <w:r>
              <w:rPr>
                <w:rFonts w:hint="default" w:ascii="Times New Roman" w:hAnsi="Times New Roman" w:cs="Times New Roman"/>
                <w:spacing w:val="-4"/>
                <w:sz w:val="21"/>
                <w:szCs w:val="21"/>
              </w:rPr>
              <w:t>（</w:t>
            </w:r>
            <w:r>
              <w:rPr>
                <w:rFonts w:hint="default" w:ascii="Times New Roman" w:hAnsi="Times New Roman" w:eastAsia="Times New Roman" w:cs="Times New Roman"/>
                <w:spacing w:val="-4"/>
                <w:sz w:val="21"/>
                <w:szCs w:val="21"/>
              </w:rPr>
              <w:t>mg/m</w:t>
            </w:r>
            <w:r>
              <w:rPr>
                <w:rFonts w:hint="default" w:ascii="Times New Roman" w:hAnsi="Times New Roman" w:eastAsia="Calibri" w:cs="Times New Roman"/>
                <w:spacing w:val="-4"/>
                <w:sz w:val="21"/>
                <w:szCs w:val="21"/>
              </w:rPr>
              <w:t>³</w:t>
            </w:r>
            <w:r>
              <w:rPr>
                <w:rFonts w:hint="default" w:ascii="Times New Roman" w:hAnsi="Times New Roman" w:cs="Times New Roman"/>
                <w:spacing w:val="-4"/>
                <w:sz w:val="21"/>
                <w:szCs w:val="21"/>
              </w:rPr>
              <w:t>)</w:t>
            </w:r>
          </w:p>
        </w:tc>
        <w:tc>
          <w:tcPr>
            <w:tcW w:w="1074" w:type="dxa"/>
            <w:vAlign w:val="top"/>
          </w:tcPr>
          <w:p w14:paraId="434D2000">
            <w:pPr>
              <w:pStyle w:val="6"/>
              <w:spacing w:before="33" w:line="224" w:lineRule="auto"/>
              <w:ind w:left="59" w:right="111" w:firstLine="68"/>
              <w:rPr>
                <w:rFonts w:hint="default" w:ascii="Times New Roman" w:hAnsi="Times New Roman" w:cs="Times New Roman"/>
                <w:sz w:val="21"/>
                <w:szCs w:val="21"/>
              </w:rPr>
            </w:pPr>
            <w:r>
              <w:rPr>
                <w:rFonts w:hint="default" w:ascii="Times New Roman" w:hAnsi="Times New Roman" w:cs="Times New Roman"/>
                <w:spacing w:val="-3"/>
                <w:sz w:val="21"/>
                <w:szCs w:val="21"/>
              </w:rPr>
              <w:t>标准限值</w:t>
            </w:r>
            <w:r>
              <w:rPr>
                <w:rFonts w:hint="default" w:ascii="Times New Roman" w:hAnsi="Times New Roman" w:cs="Times New Roman"/>
                <w:sz w:val="21"/>
                <w:szCs w:val="21"/>
              </w:rPr>
              <w:t xml:space="preserve"> </w:t>
            </w:r>
            <w:r>
              <w:rPr>
                <w:rFonts w:hint="default" w:ascii="Times New Roman" w:hAnsi="Times New Roman" w:cs="Times New Roman"/>
                <w:spacing w:val="-4"/>
                <w:sz w:val="21"/>
                <w:szCs w:val="21"/>
              </w:rPr>
              <w:t>（</w:t>
            </w:r>
            <w:r>
              <w:rPr>
                <w:rFonts w:hint="default" w:ascii="Times New Roman" w:hAnsi="Times New Roman" w:eastAsia="Times New Roman" w:cs="Times New Roman"/>
                <w:spacing w:val="-4"/>
                <w:sz w:val="21"/>
                <w:szCs w:val="21"/>
              </w:rPr>
              <w:t>mg/m</w:t>
            </w:r>
            <w:r>
              <w:rPr>
                <w:rFonts w:hint="default" w:ascii="Times New Roman" w:hAnsi="Times New Roman" w:eastAsia="Calibri" w:cs="Times New Roman"/>
                <w:spacing w:val="-4"/>
                <w:sz w:val="21"/>
                <w:szCs w:val="21"/>
              </w:rPr>
              <w:t>³</w:t>
            </w:r>
            <w:r>
              <w:rPr>
                <w:rFonts w:hint="default" w:ascii="Times New Roman" w:hAnsi="Times New Roman" w:cs="Times New Roman"/>
                <w:spacing w:val="-4"/>
                <w:sz w:val="21"/>
                <w:szCs w:val="21"/>
              </w:rPr>
              <w:t>)</w:t>
            </w:r>
          </w:p>
        </w:tc>
        <w:tc>
          <w:tcPr>
            <w:tcW w:w="1610" w:type="dxa"/>
            <w:gridSpan w:val="2"/>
            <w:vAlign w:val="top"/>
          </w:tcPr>
          <w:p w14:paraId="07F6A784">
            <w:pPr>
              <w:pStyle w:val="6"/>
              <w:spacing w:before="171" w:line="234" w:lineRule="auto"/>
              <w:ind w:left="264"/>
              <w:rPr>
                <w:rFonts w:hint="default" w:ascii="Times New Roman" w:hAnsi="Times New Roman" w:cs="Times New Roman"/>
                <w:sz w:val="21"/>
                <w:szCs w:val="21"/>
              </w:rPr>
            </w:pPr>
            <w:r>
              <w:rPr>
                <w:rFonts w:hint="default" w:ascii="Times New Roman" w:hAnsi="Times New Roman" w:cs="Times New Roman"/>
                <w:spacing w:val="-3"/>
                <w:sz w:val="21"/>
                <w:szCs w:val="21"/>
              </w:rPr>
              <w:t>纳管量（</w:t>
            </w:r>
            <w:r>
              <w:rPr>
                <w:rFonts w:hint="default" w:ascii="Times New Roman" w:hAnsi="Times New Roman" w:eastAsia="Times New Roman" w:cs="Times New Roman"/>
                <w:spacing w:val="-3"/>
                <w:sz w:val="21"/>
                <w:szCs w:val="21"/>
              </w:rPr>
              <w:t>t</w:t>
            </w:r>
            <w:r>
              <w:rPr>
                <w:rFonts w:hint="default" w:ascii="Times New Roman" w:hAnsi="Times New Roman" w:cs="Times New Roman"/>
                <w:spacing w:val="-3"/>
                <w:sz w:val="21"/>
                <w:szCs w:val="21"/>
              </w:rPr>
              <w:t>）</w:t>
            </w:r>
          </w:p>
        </w:tc>
        <w:tc>
          <w:tcPr>
            <w:tcW w:w="1610" w:type="dxa"/>
            <w:vAlign w:val="top"/>
          </w:tcPr>
          <w:p w14:paraId="1CBA4A55">
            <w:pPr>
              <w:pStyle w:val="6"/>
              <w:spacing w:before="171" w:line="233" w:lineRule="auto"/>
              <w:ind w:left="157"/>
              <w:rPr>
                <w:rFonts w:hint="default" w:ascii="Times New Roman" w:hAnsi="Times New Roman" w:cs="Times New Roman"/>
                <w:sz w:val="21"/>
                <w:szCs w:val="21"/>
              </w:rPr>
            </w:pPr>
            <w:r>
              <w:rPr>
                <w:rFonts w:hint="default" w:ascii="Times New Roman" w:hAnsi="Times New Roman" w:cs="Times New Roman"/>
                <w:spacing w:val="-1"/>
                <w:sz w:val="21"/>
                <w:szCs w:val="21"/>
              </w:rPr>
              <w:t>排环境量（</w:t>
            </w:r>
            <w:r>
              <w:rPr>
                <w:rFonts w:hint="default" w:ascii="Times New Roman" w:hAnsi="Times New Roman" w:eastAsia="Times New Roman" w:cs="Times New Roman"/>
                <w:spacing w:val="-1"/>
                <w:sz w:val="21"/>
                <w:szCs w:val="21"/>
              </w:rPr>
              <w:t>t</w:t>
            </w:r>
            <w:r>
              <w:rPr>
                <w:rFonts w:hint="default" w:ascii="Times New Roman" w:hAnsi="Times New Roman" w:cs="Times New Roman"/>
                <w:spacing w:val="-1"/>
                <w:sz w:val="21"/>
                <w:szCs w:val="21"/>
              </w:rPr>
              <w:t>）</w:t>
            </w:r>
          </w:p>
        </w:tc>
        <w:tc>
          <w:tcPr>
            <w:tcW w:w="1286" w:type="dxa"/>
            <w:vAlign w:val="top"/>
          </w:tcPr>
          <w:p w14:paraId="06708F05">
            <w:pPr>
              <w:pStyle w:val="6"/>
              <w:spacing w:before="34" w:line="218" w:lineRule="auto"/>
              <w:ind w:left="244"/>
              <w:rPr>
                <w:rFonts w:hint="default" w:ascii="Times New Roman" w:hAnsi="Times New Roman" w:cs="Times New Roman"/>
                <w:sz w:val="21"/>
                <w:szCs w:val="21"/>
              </w:rPr>
            </w:pPr>
            <w:r>
              <w:rPr>
                <w:rFonts w:hint="default" w:ascii="Times New Roman" w:hAnsi="Times New Roman" w:cs="Times New Roman"/>
                <w:spacing w:val="-5"/>
                <w:sz w:val="21"/>
                <w:szCs w:val="21"/>
              </w:rPr>
              <w:t>总量控制</w:t>
            </w:r>
          </w:p>
          <w:p w14:paraId="06CDC880">
            <w:pPr>
              <w:pStyle w:val="6"/>
              <w:spacing w:before="24" w:line="207" w:lineRule="auto"/>
              <w:ind w:left="415"/>
              <w:rPr>
                <w:rFonts w:hint="default" w:ascii="Times New Roman" w:hAnsi="Times New Roman" w:cs="Times New Roman"/>
                <w:sz w:val="21"/>
                <w:szCs w:val="21"/>
              </w:rPr>
            </w:pPr>
            <w:r>
              <w:rPr>
                <w:rFonts w:hint="default" w:ascii="Times New Roman" w:hAnsi="Times New Roman" w:cs="Times New Roman"/>
                <w:spacing w:val="-5"/>
                <w:sz w:val="21"/>
                <w:szCs w:val="21"/>
              </w:rPr>
              <w:t>（</w:t>
            </w:r>
            <w:r>
              <w:rPr>
                <w:rFonts w:hint="default" w:ascii="Times New Roman" w:hAnsi="Times New Roman" w:eastAsia="Times New Roman" w:cs="Times New Roman"/>
                <w:spacing w:val="-5"/>
                <w:sz w:val="21"/>
                <w:szCs w:val="21"/>
              </w:rPr>
              <w:t>t</w:t>
            </w:r>
            <w:r>
              <w:rPr>
                <w:rFonts w:hint="default" w:ascii="Times New Roman" w:hAnsi="Times New Roman" w:cs="Times New Roman"/>
                <w:spacing w:val="-5"/>
                <w:sz w:val="21"/>
                <w:szCs w:val="21"/>
              </w:rPr>
              <w:t>）</w:t>
            </w:r>
          </w:p>
        </w:tc>
      </w:tr>
      <w:tr w14:paraId="597E9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96" w:type="dxa"/>
            <w:vMerge w:val="restart"/>
            <w:tcBorders>
              <w:bottom w:val="nil"/>
            </w:tcBorders>
            <w:vAlign w:val="top"/>
          </w:tcPr>
          <w:p w14:paraId="4B2AA457">
            <w:pPr>
              <w:spacing w:line="330" w:lineRule="auto"/>
              <w:rPr>
                <w:rFonts w:hint="default" w:ascii="Times New Roman" w:hAnsi="Times New Roman" w:cs="Times New Roman"/>
                <w:sz w:val="21"/>
              </w:rPr>
            </w:pPr>
          </w:p>
          <w:p w14:paraId="56409CDF">
            <w:pPr>
              <w:spacing w:before="61" w:line="187" w:lineRule="auto"/>
              <w:ind w:left="180"/>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COD</w:t>
            </w:r>
          </w:p>
        </w:tc>
        <w:tc>
          <w:tcPr>
            <w:tcW w:w="940" w:type="dxa"/>
            <w:vAlign w:val="top"/>
          </w:tcPr>
          <w:p w14:paraId="0AB746BB">
            <w:pPr>
              <w:pStyle w:val="6"/>
              <w:spacing w:before="121" w:line="220" w:lineRule="auto"/>
              <w:ind w:left="70"/>
              <w:rPr>
                <w:rFonts w:hint="default" w:ascii="Times New Roman" w:hAnsi="Times New Roman" w:cs="Times New Roman"/>
                <w:sz w:val="21"/>
                <w:szCs w:val="21"/>
              </w:rPr>
            </w:pPr>
            <w:r>
              <w:rPr>
                <w:rFonts w:hint="default" w:ascii="Times New Roman" w:hAnsi="Times New Roman" w:cs="Times New Roman"/>
                <w:spacing w:val="-6"/>
                <w:sz w:val="21"/>
                <w:szCs w:val="21"/>
              </w:rPr>
              <w:t>生活污水</w:t>
            </w:r>
          </w:p>
        </w:tc>
        <w:tc>
          <w:tcPr>
            <w:tcW w:w="1207" w:type="dxa"/>
            <w:vAlign w:val="top"/>
          </w:tcPr>
          <w:p w14:paraId="7CC791D9">
            <w:pPr>
              <w:spacing w:before="160" w:line="187" w:lineRule="auto"/>
              <w:ind w:left="449"/>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399</w:t>
            </w:r>
          </w:p>
        </w:tc>
        <w:tc>
          <w:tcPr>
            <w:tcW w:w="1074" w:type="dxa"/>
            <w:vMerge w:val="restart"/>
            <w:tcBorders>
              <w:bottom w:val="nil"/>
            </w:tcBorders>
            <w:vAlign w:val="top"/>
          </w:tcPr>
          <w:p w14:paraId="421C7EB0">
            <w:pPr>
              <w:spacing w:line="330" w:lineRule="auto"/>
              <w:rPr>
                <w:rFonts w:hint="default" w:ascii="Times New Roman" w:hAnsi="Times New Roman" w:cs="Times New Roman"/>
                <w:sz w:val="21"/>
              </w:rPr>
            </w:pPr>
          </w:p>
          <w:p w14:paraId="67CA619C">
            <w:pPr>
              <w:spacing w:before="61" w:line="187" w:lineRule="auto"/>
              <w:ind w:left="386"/>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500</w:t>
            </w:r>
          </w:p>
        </w:tc>
        <w:tc>
          <w:tcPr>
            <w:tcW w:w="804" w:type="dxa"/>
            <w:vAlign w:val="top"/>
          </w:tcPr>
          <w:p w14:paraId="0B09F7D3">
            <w:pPr>
              <w:spacing w:before="145" w:line="186" w:lineRule="auto"/>
              <w:ind w:left="156"/>
              <w:rPr>
                <w:rFonts w:hint="default" w:ascii="Times New Roman" w:hAnsi="Times New Roman" w:eastAsia="等线" w:cs="Times New Roman"/>
                <w:sz w:val="22"/>
                <w:szCs w:val="22"/>
              </w:rPr>
            </w:pPr>
            <w:r>
              <w:rPr>
                <w:rFonts w:hint="default" w:ascii="Times New Roman" w:hAnsi="Times New Roman" w:eastAsia="等线" w:cs="Times New Roman"/>
                <w:spacing w:val="-3"/>
                <w:sz w:val="22"/>
                <w:szCs w:val="22"/>
              </w:rPr>
              <w:t>2.165</w:t>
            </w:r>
          </w:p>
        </w:tc>
        <w:tc>
          <w:tcPr>
            <w:tcW w:w="806" w:type="dxa"/>
            <w:vMerge w:val="restart"/>
            <w:tcBorders>
              <w:bottom w:val="nil"/>
            </w:tcBorders>
            <w:vAlign w:val="top"/>
          </w:tcPr>
          <w:p w14:paraId="0BD00380">
            <w:pPr>
              <w:spacing w:line="330" w:lineRule="auto"/>
              <w:rPr>
                <w:rFonts w:hint="default" w:ascii="Times New Roman" w:hAnsi="Times New Roman" w:cs="Times New Roman"/>
                <w:sz w:val="21"/>
              </w:rPr>
            </w:pPr>
          </w:p>
          <w:p w14:paraId="1CED20CF">
            <w:pPr>
              <w:spacing w:before="61" w:line="187" w:lineRule="auto"/>
              <w:ind w:left="221"/>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2.69</w:t>
            </w:r>
          </w:p>
        </w:tc>
        <w:tc>
          <w:tcPr>
            <w:tcW w:w="1610" w:type="dxa"/>
            <w:vMerge w:val="restart"/>
            <w:tcBorders>
              <w:bottom w:val="nil"/>
            </w:tcBorders>
            <w:vAlign w:val="top"/>
          </w:tcPr>
          <w:p w14:paraId="46A2D537">
            <w:pPr>
              <w:spacing w:line="302" w:lineRule="auto"/>
              <w:rPr>
                <w:rFonts w:hint="default" w:ascii="Times New Roman" w:hAnsi="Times New Roman" w:cs="Times New Roman"/>
                <w:sz w:val="21"/>
              </w:rPr>
            </w:pPr>
          </w:p>
          <w:p w14:paraId="6FE7CA11">
            <w:pPr>
              <w:spacing w:before="74" w:line="186" w:lineRule="auto"/>
              <w:ind w:left="559"/>
              <w:rPr>
                <w:rFonts w:hint="default" w:ascii="Times New Roman" w:hAnsi="Times New Roman" w:eastAsia="等线" w:cs="Times New Roman"/>
                <w:sz w:val="22"/>
                <w:szCs w:val="22"/>
              </w:rPr>
            </w:pPr>
            <w:r>
              <w:rPr>
                <w:rFonts w:hint="default" w:ascii="Times New Roman" w:hAnsi="Times New Roman" w:eastAsia="等线" w:cs="Times New Roman"/>
                <w:spacing w:val="-2"/>
                <w:sz w:val="22"/>
                <w:szCs w:val="22"/>
              </w:rPr>
              <w:t>0.452</w:t>
            </w:r>
          </w:p>
        </w:tc>
        <w:tc>
          <w:tcPr>
            <w:tcW w:w="1286" w:type="dxa"/>
            <w:vMerge w:val="restart"/>
            <w:tcBorders>
              <w:bottom w:val="nil"/>
            </w:tcBorders>
            <w:vAlign w:val="top"/>
          </w:tcPr>
          <w:p w14:paraId="1C21A21B">
            <w:pPr>
              <w:spacing w:line="330" w:lineRule="auto"/>
              <w:rPr>
                <w:rFonts w:hint="default" w:ascii="Times New Roman" w:hAnsi="Times New Roman" w:cs="Times New Roman"/>
                <w:sz w:val="21"/>
              </w:rPr>
            </w:pPr>
          </w:p>
          <w:p w14:paraId="2AABD8FA">
            <w:pPr>
              <w:spacing w:before="61" w:line="187" w:lineRule="auto"/>
              <w:ind w:left="463"/>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0.72</w:t>
            </w:r>
          </w:p>
        </w:tc>
      </w:tr>
      <w:tr w14:paraId="00373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96" w:type="dxa"/>
            <w:vMerge w:val="continue"/>
            <w:tcBorders>
              <w:top w:val="nil"/>
            </w:tcBorders>
            <w:vAlign w:val="top"/>
          </w:tcPr>
          <w:p w14:paraId="24C6A1A2">
            <w:pPr>
              <w:rPr>
                <w:rFonts w:hint="default" w:ascii="Times New Roman" w:hAnsi="Times New Roman" w:cs="Times New Roman"/>
                <w:sz w:val="21"/>
              </w:rPr>
            </w:pPr>
          </w:p>
        </w:tc>
        <w:tc>
          <w:tcPr>
            <w:tcW w:w="940" w:type="dxa"/>
            <w:vAlign w:val="top"/>
          </w:tcPr>
          <w:p w14:paraId="65626CAD">
            <w:pPr>
              <w:pStyle w:val="6"/>
              <w:spacing w:before="122" w:line="220" w:lineRule="auto"/>
              <w:ind w:left="62"/>
              <w:rPr>
                <w:rFonts w:hint="default" w:ascii="Times New Roman" w:hAnsi="Times New Roman" w:cs="Times New Roman"/>
                <w:sz w:val="21"/>
                <w:szCs w:val="21"/>
              </w:rPr>
            </w:pPr>
            <w:r>
              <w:rPr>
                <w:rFonts w:hint="default" w:ascii="Times New Roman" w:hAnsi="Times New Roman" w:cs="Times New Roman"/>
                <w:spacing w:val="-4"/>
                <w:sz w:val="21"/>
                <w:szCs w:val="21"/>
              </w:rPr>
              <w:t>工业废水</w:t>
            </w:r>
          </w:p>
        </w:tc>
        <w:tc>
          <w:tcPr>
            <w:tcW w:w="1207" w:type="dxa"/>
            <w:vAlign w:val="top"/>
          </w:tcPr>
          <w:p w14:paraId="08FAAD25">
            <w:pPr>
              <w:spacing w:before="161" w:line="187" w:lineRule="auto"/>
              <w:ind w:left="465"/>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6"/>
                <w:sz w:val="21"/>
                <w:szCs w:val="21"/>
                <w:lang w:val="en-US" w:eastAsia="zh-CN"/>
              </w:rPr>
              <w:t>36</w:t>
            </w:r>
          </w:p>
        </w:tc>
        <w:tc>
          <w:tcPr>
            <w:tcW w:w="1074" w:type="dxa"/>
            <w:vMerge w:val="continue"/>
            <w:tcBorders>
              <w:top w:val="nil"/>
            </w:tcBorders>
            <w:vAlign w:val="top"/>
          </w:tcPr>
          <w:p w14:paraId="668F6DF8">
            <w:pPr>
              <w:rPr>
                <w:rFonts w:hint="default" w:ascii="Times New Roman" w:hAnsi="Times New Roman" w:cs="Times New Roman"/>
                <w:sz w:val="21"/>
              </w:rPr>
            </w:pPr>
          </w:p>
        </w:tc>
        <w:tc>
          <w:tcPr>
            <w:tcW w:w="804" w:type="dxa"/>
            <w:vAlign w:val="top"/>
          </w:tcPr>
          <w:p w14:paraId="2E9C8344">
            <w:pPr>
              <w:spacing w:before="143" w:line="186" w:lineRule="auto"/>
              <w:ind w:left="155"/>
              <w:rPr>
                <w:rFonts w:hint="default" w:ascii="Times New Roman" w:hAnsi="Times New Roman" w:eastAsia="等线" w:cs="Times New Roman"/>
                <w:sz w:val="22"/>
                <w:szCs w:val="22"/>
              </w:rPr>
            </w:pPr>
            <w:r>
              <w:rPr>
                <w:rFonts w:hint="default" w:ascii="Times New Roman" w:hAnsi="Times New Roman" w:eastAsia="等线" w:cs="Times New Roman"/>
                <w:spacing w:val="-2"/>
                <w:sz w:val="22"/>
                <w:szCs w:val="22"/>
              </w:rPr>
              <w:t>0.523</w:t>
            </w:r>
          </w:p>
        </w:tc>
        <w:tc>
          <w:tcPr>
            <w:tcW w:w="806" w:type="dxa"/>
            <w:vMerge w:val="continue"/>
            <w:tcBorders>
              <w:top w:val="nil"/>
            </w:tcBorders>
            <w:vAlign w:val="top"/>
          </w:tcPr>
          <w:p w14:paraId="5D6A698B">
            <w:pPr>
              <w:rPr>
                <w:rFonts w:hint="default" w:ascii="Times New Roman" w:hAnsi="Times New Roman" w:cs="Times New Roman"/>
                <w:sz w:val="21"/>
              </w:rPr>
            </w:pPr>
          </w:p>
        </w:tc>
        <w:tc>
          <w:tcPr>
            <w:tcW w:w="1610" w:type="dxa"/>
            <w:vMerge w:val="continue"/>
            <w:tcBorders>
              <w:top w:val="nil"/>
            </w:tcBorders>
            <w:vAlign w:val="top"/>
          </w:tcPr>
          <w:p w14:paraId="163C1EDE">
            <w:pPr>
              <w:rPr>
                <w:rFonts w:hint="default" w:ascii="Times New Roman" w:hAnsi="Times New Roman" w:cs="Times New Roman"/>
                <w:sz w:val="21"/>
              </w:rPr>
            </w:pPr>
          </w:p>
        </w:tc>
        <w:tc>
          <w:tcPr>
            <w:tcW w:w="1286" w:type="dxa"/>
            <w:vMerge w:val="continue"/>
            <w:tcBorders>
              <w:top w:val="nil"/>
            </w:tcBorders>
            <w:vAlign w:val="top"/>
          </w:tcPr>
          <w:p w14:paraId="0CB5DE83">
            <w:pPr>
              <w:rPr>
                <w:rFonts w:hint="default" w:ascii="Times New Roman" w:hAnsi="Times New Roman" w:cs="Times New Roman"/>
                <w:sz w:val="21"/>
              </w:rPr>
            </w:pPr>
          </w:p>
        </w:tc>
      </w:tr>
      <w:tr w14:paraId="3A446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796" w:type="dxa"/>
            <w:vMerge w:val="restart"/>
            <w:tcBorders>
              <w:bottom w:val="nil"/>
            </w:tcBorders>
            <w:vAlign w:val="top"/>
          </w:tcPr>
          <w:p w14:paraId="5F82FB4B">
            <w:pPr>
              <w:spacing w:line="286" w:lineRule="auto"/>
              <w:rPr>
                <w:rFonts w:hint="default" w:ascii="Times New Roman" w:hAnsi="Times New Roman" w:cs="Times New Roman"/>
                <w:sz w:val="21"/>
              </w:rPr>
            </w:pPr>
          </w:p>
          <w:p w14:paraId="44456706">
            <w:pPr>
              <w:pStyle w:val="6"/>
              <w:spacing w:before="68" w:line="221" w:lineRule="auto"/>
              <w:ind w:left="206"/>
              <w:rPr>
                <w:rFonts w:hint="default" w:ascii="Times New Roman" w:hAnsi="Times New Roman" w:cs="Times New Roman"/>
                <w:sz w:val="21"/>
                <w:szCs w:val="21"/>
              </w:rPr>
            </w:pPr>
            <w:r>
              <w:rPr>
                <w:rFonts w:hint="default" w:ascii="Times New Roman" w:hAnsi="Times New Roman" w:cs="Times New Roman"/>
                <w:spacing w:val="-5"/>
                <w:sz w:val="21"/>
                <w:szCs w:val="21"/>
              </w:rPr>
              <w:t>氨氮</w:t>
            </w:r>
          </w:p>
        </w:tc>
        <w:tc>
          <w:tcPr>
            <w:tcW w:w="940" w:type="dxa"/>
            <w:vAlign w:val="top"/>
          </w:tcPr>
          <w:p w14:paraId="041DAFAC">
            <w:pPr>
              <w:pStyle w:val="6"/>
              <w:spacing w:before="123" w:line="220" w:lineRule="auto"/>
              <w:ind w:left="70"/>
              <w:rPr>
                <w:rFonts w:hint="default" w:ascii="Times New Roman" w:hAnsi="Times New Roman" w:cs="Times New Roman"/>
                <w:sz w:val="21"/>
                <w:szCs w:val="21"/>
              </w:rPr>
            </w:pPr>
            <w:r>
              <w:rPr>
                <w:rFonts w:hint="default" w:ascii="Times New Roman" w:hAnsi="Times New Roman" w:cs="Times New Roman"/>
                <w:spacing w:val="-6"/>
                <w:sz w:val="21"/>
                <w:szCs w:val="21"/>
              </w:rPr>
              <w:t>生活污水</w:t>
            </w:r>
          </w:p>
        </w:tc>
        <w:tc>
          <w:tcPr>
            <w:tcW w:w="1207" w:type="dxa"/>
            <w:vAlign w:val="top"/>
          </w:tcPr>
          <w:p w14:paraId="205E2CE5">
            <w:pPr>
              <w:spacing w:before="162" w:line="187" w:lineRule="auto"/>
              <w:ind w:left="419"/>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29.9</w:t>
            </w:r>
          </w:p>
        </w:tc>
        <w:tc>
          <w:tcPr>
            <w:tcW w:w="1074" w:type="dxa"/>
            <w:vMerge w:val="restart"/>
            <w:tcBorders>
              <w:bottom w:val="nil"/>
            </w:tcBorders>
            <w:vAlign w:val="top"/>
          </w:tcPr>
          <w:p w14:paraId="076DC938">
            <w:pPr>
              <w:spacing w:line="332" w:lineRule="auto"/>
              <w:rPr>
                <w:rFonts w:hint="default" w:ascii="Times New Roman" w:hAnsi="Times New Roman" w:cs="Times New Roman"/>
                <w:sz w:val="21"/>
              </w:rPr>
            </w:pPr>
          </w:p>
          <w:p w14:paraId="2F8A7160">
            <w:pPr>
              <w:spacing w:before="61" w:line="187" w:lineRule="auto"/>
              <w:ind w:left="437"/>
              <w:rPr>
                <w:rFonts w:hint="default" w:ascii="Times New Roman" w:hAnsi="Times New Roman" w:eastAsia="Times New Roman" w:cs="Times New Roman"/>
                <w:sz w:val="21"/>
                <w:szCs w:val="21"/>
              </w:rPr>
            </w:pPr>
            <w:r>
              <w:rPr>
                <w:rFonts w:hint="default" w:ascii="Times New Roman" w:hAnsi="Times New Roman" w:eastAsia="Times New Roman" w:cs="Times New Roman"/>
                <w:spacing w:val="-2"/>
                <w:sz w:val="21"/>
                <w:szCs w:val="21"/>
              </w:rPr>
              <w:t>30</w:t>
            </w:r>
          </w:p>
        </w:tc>
        <w:tc>
          <w:tcPr>
            <w:tcW w:w="804" w:type="dxa"/>
            <w:vAlign w:val="top"/>
          </w:tcPr>
          <w:p w14:paraId="580E2E77">
            <w:pPr>
              <w:spacing w:before="147" w:line="186" w:lineRule="auto"/>
              <w:ind w:left="155"/>
              <w:rPr>
                <w:rFonts w:hint="default" w:ascii="Times New Roman" w:hAnsi="Times New Roman" w:eastAsia="等线" w:cs="Times New Roman"/>
                <w:sz w:val="22"/>
                <w:szCs w:val="22"/>
              </w:rPr>
            </w:pPr>
            <w:r>
              <w:rPr>
                <w:rFonts w:hint="default" w:ascii="Times New Roman" w:hAnsi="Times New Roman" w:eastAsia="等线" w:cs="Times New Roman"/>
                <w:spacing w:val="-2"/>
                <w:sz w:val="22"/>
                <w:szCs w:val="22"/>
              </w:rPr>
              <w:t>0.162</w:t>
            </w:r>
          </w:p>
        </w:tc>
        <w:tc>
          <w:tcPr>
            <w:tcW w:w="806" w:type="dxa"/>
            <w:vMerge w:val="restart"/>
            <w:tcBorders>
              <w:bottom w:val="nil"/>
            </w:tcBorders>
            <w:vAlign w:val="top"/>
          </w:tcPr>
          <w:p w14:paraId="0A893625">
            <w:pPr>
              <w:spacing w:line="332" w:lineRule="auto"/>
              <w:rPr>
                <w:rFonts w:hint="default" w:ascii="Times New Roman" w:hAnsi="Times New Roman" w:cs="Times New Roman"/>
                <w:sz w:val="21"/>
              </w:rPr>
            </w:pPr>
          </w:p>
          <w:p w14:paraId="57EB98D5">
            <w:pPr>
              <w:spacing w:before="61" w:line="187" w:lineRule="auto"/>
              <w:ind w:left="224"/>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0.17</w:t>
            </w:r>
          </w:p>
        </w:tc>
        <w:tc>
          <w:tcPr>
            <w:tcW w:w="1610" w:type="dxa"/>
            <w:vMerge w:val="restart"/>
            <w:tcBorders>
              <w:bottom w:val="nil"/>
            </w:tcBorders>
            <w:vAlign w:val="top"/>
          </w:tcPr>
          <w:p w14:paraId="73B8FC26">
            <w:pPr>
              <w:spacing w:line="332" w:lineRule="auto"/>
              <w:rPr>
                <w:rFonts w:hint="default" w:ascii="Times New Roman" w:hAnsi="Times New Roman" w:cs="Times New Roman"/>
                <w:sz w:val="21"/>
              </w:rPr>
            </w:pPr>
          </w:p>
          <w:p w14:paraId="551D5EC5">
            <w:pPr>
              <w:spacing w:before="61" w:line="187" w:lineRule="auto"/>
              <w:ind w:left="575"/>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0.045</w:t>
            </w:r>
          </w:p>
        </w:tc>
        <w:tc>
          <w:tcPr>
            <w:tcW w:w="1286" w:type="dxa"/>
            <w:vMerge w:val="restart"/>
            <w:tcBorders>
              <w:bottom w:val="nil"/>
            </w:tcBorders>
            <w:vAlign w:val="top"/>
          </w:tcPr>
          <w:p w14:paraId="59EB0474">
            <w:pPr>
              <w:spacing w:line="332" w:lineRule="auto"/>
              <w:rPr>
                <w:rFonts w:hint="default" w:ascii="Times New Roman" w:hAnsi="Times New Roman" w:cs="Times New Roman"/>
                <w:sz w:val="21"/>
              </w:rPr>
            </w:pPr>
          </w:p>
          <w:p w14:paraId="3A66173A">
            <w:pPr>
              <w:spacing w:before="61" w:line="187" w:lineRule="auto"/>
              <w:ind w:left="411"/>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0.072</w:t>
            </w:r>
          </w:p>
        </w:tc>
      </w:tr>
      <w:tr w14:paraId="5FA5D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96" w:type="dxa"/>
            <w:vMerge w:val="continue"/>
            <w:tcBorders>
              <w:top w:val="nil"/>
            </w:tcBorders>
            <w:vAlign w:val="top"/>
          </w:tcPr>
          <w:p w14:paraId="7D6C0EBF">
            <w:pPr>
              <w:rPr>
                <w:rFonts w:hint="default" w:ascii="Times New Roman" w:hAnsi="Times New Roman" w:cs="Times New Roman"/>
                <w:sz w:val="21"/>
              </w:rPr>
            </w:pPr>
          </w:p>
        </w:tc>
        <w:tc>
          <w:tcPr>
            <w:tcW w:w="940" w:type="dxa"/>
            <w:vAlign w:val="top"/>
          </w:tcPr>
          <w:p w14:paraId="1CEE88E1">
            <w:pPr>
              <w:pStyle w:val="6"/>
              <w:spacing w:before="124" w:line="220" w:lineRule="auto"/>
              <w:ind w:left="62"/>
              <w:rPr>
                <w:rFonts w:hint="default" w:ascii="Times New Roman" w:hAnsi="Times New Roman" w:cs="Times New Roman"/>
                <w:sz w:val="21"/>
                <w:szCs w:val="21"/>
              </w:rPr>
            </w:pPr>
            <w:r>
              <w:rPr>
                <w:rFonts w:hint="default" w:ascii="Times New Roman" w:hAnsi="Times New Roman" w:cs="Times New Roman"/>
                <w:spacing w:val="-4"/>
                <w:sz w:val="21"/>
                <w:szCs w:val="21"/>
              </w:rPr>
              <w:t>工业废水</w:t>
            </w:r>
          </w:p>
        </w:tc>
        <w:tc>
          <w:tcPr>
            <w:tcW w:w="1207" w:type="dxa"/>
            <w:vAlign w:val="top"/>
          </w:tcPr>
          <w:p w14:paraId="403F64A3">
            <w:pPr>
              <w:spacing w:before="163" w:line="187" w:lineRule="auto"/>
              <w:ind w:left="369"/>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0.862</w:t>
            </w:r>
          </w:p>
        </w:tc>
        <w:tc>
          <w:tcPr>
            <w:tcW w:w="1074" w:type="dxa"/>
            <w:vMerge w:val="continue"/>
            <w:tcBorders>
              <w:top w:val="nil"/>
            </w:tcBorders>
            <w:vAlign w:val="top"/>
          </w:tcPr>
          <w:p w14:paraId="034BEAEE">
            <w:pPr>
              <w:rPr>
                <w:rFonts w:hint="default" w:ascii="Times New Roman" w:hAnsi="Times New Roman" w:cs="Times New Roman"/>
                <w:sz w:val="21"/>
              </w:rPr>
            </w:pPr>
          </w:p>
        </w:tc>
        <w:tc>
          <w:tcPr>
            <w:tcW w:w="804" w:type="dxa"/>
            <w:vAlign w:val="top"/>
          </w:tcPr>
          <w:p w14:paraId="54A9637B">
            <w:pPr>
              <w:spacing w:before="148" w:line="186" w:lineRule="auto"/>
              <w:ind w:left="155"/>
              <w:rPr>
                <w:rFonts w:hint="default" w:ascii="Times New Roman" w:hAnsi="Times New Roman" w:eastAsia="等线" w:cs="Times New Roman"/>
                <w:sz w:val="22"/>
                <w:szCs w:val="22"/>
              </w:rPr>
            </w:pPr>
            <w:r>
              <w:rPr>
                <w:rFonts w:hint="default" w:ascii="Times New Roman" w:hAnsi="Times New Roman" w:eastAsia="等线" w:cs="Times New Roman"/>
                <w:spacing w:val="-2"/>
                <w:sz w:val="22"/>
                <w:szCs w:val="22"/>
              </w:rPr>
              <w:t>0.003</w:t>
            </w:r>
          </w:p>
        </w:tc>
        <w:tc>
          <w:tcPr>
            <w:tcW w:w="806" w:type="dxa"/>
            <w:vMerge w:val="continue"/>
            <w:tcBorders>
              <w:top w:val="nil"/>
            </w:tcBorders>
            <w:vAlign w:val="top"/>
          </w:tcPr>
          <w:p w14:paraId="51E8EB78">
            <w:pPr>
              <w:rPr>
                <w:rFonts w:hint="default" w:ascii="Times New Roman" w:hAnsi="Times New Roman" w:cs="Times New Roman"/>
                <w:sz w:val="21"/>
              </w:rPr>
            </w:pPr>
          </w:p>
        </w:tc>
        <w:tc>
          <w:tcPr>
            <w:tcW w:w="1610" w:type="dxa"/>
            <w:vMerge w:val="continue"/>
            <w:tcBorders>
              <w:top w:val="nil"/>
            </w:tcBorders>
            <w:vAlign w:val="top"/>
          </w:tcPr>
          <w:p w14:paraId="575A07F1">
            <w:pPr>
              <w:rPr>
                <w:rFonts w:hint="default" w:ascii="Times New Roman" w:hAnsi="Times New Roman" w:cs="Times New Roman"/>
                <w:sz w:val="21"/>
              </w:rPr>
            </w:pPr>
          </w:p>
        </w:tc>
        <w:tc>
          <w:tcPr>
            <w:tcW w:w="1286" w:type="dxa"/>
            <w:vMerge w:val="continue"/>
            <w:tcBorders>
              <w:top w:val="nil"/>
            </w:tcBorders>
            <w:vAlign w:val="top"/>
          </w:tcPr>
          <w:p w14:paraId="2FA269FF">
            <w:pPr>
              <w:rPr>
                <w:rFonts w:hint="default" w:ascii="Times New Roman" w:hAnsi="Times New Roman" w:cs="Times New Roman"/>
                <w:sz w:val="21"/>
              </w:rPr>
            </w:pPr>
          </w:p>
        </w:tc>
      </w:tr>
      <w:tr w14:paraId="29123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736" w:type="dxa"/>
            <w:gridSpan w:val="2"/>
            <w:vAlign w:val="top"/>
          </w:tcPr>
          <w:p w14:paraId="0DF9F237">
            <w:pPr>
              <w:pStyle w:val="6"/>
              <w:spacing w:before="125" w:line="217" w:lineRule="auto"/>
              <w:ind w:left="359"/>
              <w:rPr>
                <w:rFonts w:hint="default" w:ascii="Times New Roman" w:hAnsi="Times New Roman" w:cs="Times New Roman"/>
                <w:sz w:val="21"/>
                <w:szCs w:val="21"/>
              </w:rPr>
            </w:pPr>
            <w:r>
              <w:rPr>
                <w:rFonts w:hint="default" w:ascii="Times New Roman" w:hAnsi="Times New Roman" w:cs="Times New Roman"/>
                <w:spacing w:val="-4"/>
                <w:sz w:val="21"/>
                <w:szCs w:val="21"/>
              </w:rPr>
              <w:t>符合性评价</w:t>
            </w:r>
          </w:p>
        </w:tc>
        <w:tc>
          <w:tcPr>
            <w:tcW w:w="2281" w:type="dxa"/>
            <w:gridSpan w:val="2"/>
            <w:vAlign w:val="top"/>
          </w:tcPr>
          <w:p w14:paraId="4FEB2EA6">
            <w:pPr>
              <w:pStyle w:val="6"/>
              <w:spacing w:before="125" w:line="218" w:lineRule="auto"/>
              <w:ind w:left="524"/>
              <w:rPr>
                <w:rFonts w:hint="default" w:ascii="Times New Roman" w:hAnsi="Times New Roman" w:cs="Times New Roman"/>
                <w:sz w:val="21"/>
                <w:szCs w:val="21"/>
              </w:rPr>
            </w:pPr>
            <w:r>
              <w:rPr>
                <w:rFonts w:hint="default" w:ascii="Times New Roman" w:hAnsi="Times New Roman" w:cs="Times New Roman"/>
                <w:spacing w:val="-3"/>
                <w:sz w:val="21"/>
                <w:szCs w:val="21"/>
              </w:rPr>
              <w:t>符合排放限值</w:t>
            </w:r>
          </w:p>
        </w:tc>
        <w:tc>
          <w:tcPr>
            <w:tcW w:w="1610" w:type="dxa"/>
            <w:gridSpan w:val="2"/>
            <w:vAlign w:val="top"/>
          </w:tcPr>
          <w:p w14:paraId="3B3CFD54">
            <w:pPr>
              <w:rPr>
                <w:rFonts w:hint="default" w:ascii="Times New Roman" w:hAnsi="Times New Roman" w:cs="Times New Roman"/>
                <w:sz w:val="21"/>
              </w:rPr>
            </w:pPr>
          </w:p>
        </w:tc>
        <w:tc>
          <w:tcPr>
            <w:tcW w:w="2896" w:type="dxa"/>
            <w:gridSpan w:val="2"/>
            <w:vAlign w:val="top"/>
          </w:tcPr>
          <w:p w14:paraId="0E68ACE1">
            <w:pPr>
              <w:pStyle w:val="6"/>
              <w:spacing w:before="125" w:line="218" w:lineRule="auto"/>
              <w:ind w:left="834"/>
              <w:rPr>
                <w:rFonts w:hint="default" w:ascii="Times New Roman" w:hAnsi="Times New Roman" w:cs="Times New Roman"/>
                <w:sz w:val="21"/>
                <w:szCs w:val="21"/>
              </w:rPr>
            </w:pPr>
            <w:r>
              <w:rPr>
                <w:rFonts w:hint="default" w:ascii="Times New Roman" w:hAnsi="Times New Roman" w:cs="Times New Roman"/>
                <w:spacing w:val="-3"/>
                <w:sz w:val="21"/>
                <w:szCs w:val="21"/>
              </w:rPr>
              <w:t>符合总量控制</w:t>
            </w:r>
          </w:p>
        </w:tc>
      </w:tr>
    </w:tbl>
    <w:p w14:paraId="75C7C54D">
      <w:pPr>
        <w:spacing w:before="36" w:line="220" w:lineRule="auto"/>
        <w:ind w:left="1475"/>
        <w:rPr>
          <w:rFonts w:ascii="宋体" w:hAnsi="宋体" w:eastAsia="宋体" w:cs="宋体"/>
          <w:sz w:val="24"/>
          <w:szCs w:val="24"/>
        </w:rPr>
      </w:pPr>
      <w:r>
        <w:rPr>
          <w:rFonts w:ascii="宋体" w:hAnsi="宋体" w:eastAsia="宋体" w:cs="宋体"/>
          <w:spacing w:val="-3"/>
          <w:sz w:val="24"/>
          <w:szCs w:val="24"/>
        </w:rPr>
        <w:t>3）固废产排分析</w:t>
      </w:r>
    </w:p>
    <w:p w14:paraId="6AA3710C">
      <w:pPr>
        <w:spacing w:before="299" w:line="220" w:lineRule="auto"/>
        <w:ind w:left="1473"/>
        <w:rPr>
          <w:rFonts w:ascii="宋体" w:hAnsi="宋体" w:eastAsia="宋体" w:cs="宋体"/>
          <w:sz w:val="24"/>
          <w:szCs w:val="24"/>
        </w:rPr>
      </w:pPr>
      <w:r>
        <w:rPr>
          <w:rFonts w:hint="eastAsia" w:ascii="宋体" w:hAnsi="宋体" w:eastAsia="宋体" w:cs="宋体"/>
          <w:spacing w:val="-3"/>
          <w:sz w:val="24"/>
          <w:szCs w:val="24"/>
          <w:lang w:eastAsia="zh-CN"/>
        </w:rPr>
        <w:t>2024</w:t>
      </w:r>
      <w:r>
        <w:rPr>
          <w:rFonts w:ascii="宋体" w:hAnsi="宋体" w:eastAsia="宋体" w:cs="宋体"/>
          <w:spacing w:val="-3"/>
          <w:sz w:val="24"/>
          <w:szCs w:val="24"/>
        </w:rPr>
        <w:t>年企业工业固废产生量及处理信息如下：</w:t>
      </w:r>
    </w:p>
    <w:p w14:paraId="457066BD">
      <w:pPr>
        <w:spacing w:before="303" w:line="212" w:lineRule="auto"/>
        <w:ind w:left="4195"/>
        <w:rPr>
          <w:rFonts w:ascii="仿宋" w:hAnsi="仿宋" w:eastAsia="仿宋" w:cs="仿宋"/>
          <w:sz w:val="24"/>
          <w:szCs w:val="24"/>
        </w:rPr>
      </w:pPr>
      <w:r>
        <w:rPr>
          <w:rFonts w:ascii="仿宋" w:hAnsi="仿宋" w:eastAsia="仿宋" w:cs="仿宋"/>
          <w:spacing w:val="-5"/>
          <w:sz w:val="24"/>
          <w:szCs w:val="24"/>
        </w:rPr>
        <w:t>固废产排量统计分析</w:t>
      </w:r>
    </w:p>
    <w:tbl>
      <w:tblPr>
        <w:tblStyle w:val="5"/>
        <w:tblW w:w="8730" w:type="dxa"/>
        <w:tblInd w:w="8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
        <w:gridCol w:w="1471"/>
        <w:gridCol w:w="1358"/>
        <w:gridCol w:w="1641"/>
        <w:gridCol w:w="1492"/>
        <w:gridCol w:w="1873"/>
      </w:tblGrid>
      <w:tr w14:paraId="73AAC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95" w:type="dxa"/>
            <w:vAlign w:val="top"/>
          </w:tcPr>
          <w:p w14:paraId="7EDD7259">
            <w:pPr>
              <w:pStyle w:val="6"/>
              <w:spacing w:before="84" w:line="218" w:lineRule="auto"/>
              <w:ind w:left="219"/>
              <w:rPr>
                <w:rFonts w:hint="default" w:ascii="Times New Roman" w:hAnsi="Times New Roman" w:cs="Times New Roman"/>
                <w:sz w:val="24"/>
                <w:szCs w:val="24"/>
              </w:rPr>
            </w:pPr>
            <w:r>
              <w:rPr>
                <w:rFonts w:hint="default" w:ascii="Times New Roman" w:hAnsi="Times New Roman" w:cs="Times New Roman"/>
                <w:spacing w:val="-4"/>
                <w:sz w:val="24"/>
                <w:szCs w:val="24"/>
              </w:rPr>
              <w:t>序号</w:t>
            </w:r>
          </w:p>
        </w:tc>
        <w:tc>
          <w:tcPr>
            <w:tcW w:w="1471" w:type="dxa"/>
            <w:vAlign w:val="top"/>
          </w:tcPr>
          <w:p w14:paraId="47DF9492">
            <w:pPr>
              <w:pStyle w:val="6"/>
              <w:spacing w:before="83" w:line="217" w:lineRule="auto"/>
              <w:ind w:left="268"/>
              <w:rPr>
                <w:rFonts w:hint="default" w:ascii="Times New Roman" w:hAnsi="Times New Roman" w:cs="Times New Roman"/>
                <w:sz w:val="24"/>
                <w:szCs w:val="24"/>
              </w:rPr>
            </w:pPr>
            <w:r>
              <w:rPr>
                <w:rFonts w:hint="default" w:ascii="Times New Roman" w:hAnsi="Times New Roman" w:cs="Times New Roman"/>
                <w:spacing w:val="-4"/>
                <w:sz w:val="24"/>
                <w:szCs w:val="24"/>
              </w:rPr>
              <w:t>废物名称</w:t>
            </w:r>
          </w:p>
        </w:tc>
        <w:tc>
          <w:tcPr>
            <w:tcW w:w="1358" w:type="dxa"/>
            <w:vAlign w:val="top"/>
          </w:tcPr>
          <w:p w14:paraId="49A5CE31">
            <w:pPr>
              <w:pStyle w:val="6"/>
              <w:spacing w:before="83" w:line="217" w:lineRule="auto"/>
              <w:ind w:left="211"/>
              <w:rPr>
                <w:rFonts w:hint="default" w:ascii="Times New Roman" w:hAnsi="Times New Roman" w:cs="Times New Roman"/>
                <w:sz w:val="24"/>
                <w:szCs w:val="24"/>
              </w:rPr>
            </w:pPr>
            <w:r>
              <w:rPr>
                <w:rFonts w:hint="default" w:ascii="Times New Roman" w:hAnsi="Times New Roman" w:cs="Times New Roman"/>
                <w:spacing w:val="-4"/>
                <w:sz w:val="24"/>
                <w:szCs w:val="24"/>
              </w:rPr>
              <w:t>废物类别</w:t>
            </w:r>
          </w:p>
        </w:tc>
        <w:tc>
          <w:tcPr>
            <w:tcW w:w="1641" w:type="dxa"/>
            <w:vAlign w:val="top"/>
          </w:tcPr>
          <w:p w14:paraId="4341DFC1">
            <w:pPr>
              <w:pStyle w:val="6"/>
              <w:spacing w:before="84" w:line="218" w:lineRule="auto"/>
              <w:ind w:left="233"/>
              <w:rPr>
                <w:rFonts w:hint="default" w:ascii="Times New Roman" w:hAnsi="Times New Roman" w:cs="Times New Roman"/>
                <w:sz w:val="24"/>
                <w:szCs w:val="24"/>
              </w:rPr>
            </w:pPr>
            <w:r>
              <w:rPr>
                <w:rFonts w:hint="default" w:ascii="Times New Roman" w:hAnsi="Times New Roman" w:cs="Times New Roman"/>
                <w:spacing w:val="-3"/>
                <w:sz w:val="24"/>
                <w:szCs w:val="24"/>
              </w:rPr>
              <w:t>是否再利用</w:t>
            </w:r>
          </w:p>
        </w:tc>
        <w:tc>
          <w:tcPr>
            <w:tcW w:w="1492" w:type="dxa"/>
            <w:vAlign w:val="top"/>
          </w:tcPr>
          <w:p w14:paraId="6B96B88B">
            <w:pPr>
              <w:pStyle w:val="6"/>
              <w:spacing w:before="72" w:line="213" w:lineRule="auto"/>
              <w:ind w:left="211"/>
              <w:rPr>
                <w:rFonts w:hint="default" w:ascii="Times New Roman" w:hAnsi="Times New Roman" w:eastAsia="等线" w:cs="Times New Roman"/>
                <w:sz w:val="24"/>
                <w:szCs w:val="24"/>
              </w:rPr>
            </w:pPr>
            <w:r>
              <w:rPr>
                <w:rFonts w:hint="default" w:ascii="Times New Roman" w:hAnsi="Times New Roman" w:cs="Times New Roman"/>
                <w:spacing w:val="-4"/>
                <w:sz w:val="24"/>
                <w:szCs w:val="24"/>
              </w:rPr>
              <w:t>产生量</w:t>
            </w:r>
            <w:r>
              <w:rPr>
                <w:rFonts w:hint="default" w:ascii="Times New Roman" w:hAnsi="Times New Roman" w:eastAsia="等线" w:cs="Times New Roman"/>
                <w:spacing w:val="-4"/>
                <w:sz w:val="24"/>
                <w:szCs w:val="24"/>
              </w:rPr>
              <w:t>(</w:t>
            </w:r>
            <w:r>
              <w:rPr>
                <w:rFonts w:hint="default" w:ascii="Times New Roman" w:hAnsi="Times New Roman" w:cs="Times New Roman"/>
                <w:spacing w:val="-4"/>
                <w:sz w:val="24"/>
                <w:szCs w:val="24"/>
              </w:rPr>
              <w:t>吨</w:t>
            </w:r>
            <w:r>
              <w:rPr>
                <w:rFonts w:hint="default" w:ascii="Times New Roman" w:hAnsi="Times New Roman" w:eastAsia="等线" w:cs="Times New Roman"/>
                <w:spacing w:val="-4"/>
                <w:sz w:val="24"/>
                <w:szCs w:val="24"/>
              </w:rPr>
              <w:t>)</w:t>
            </w:r>
          </w:p>
        </w:tc>
        <w:tc>
          <w:tcPr>
            <w:tcW w:w="1873" w:type="dxa"/>
            <w:vAlign w:val="top"/>
          </w:tcPr>
          <w:p w14:paraId="2519032C">
            <w:pPr>
              <w:pStyle w:val="6"/>
              <w:spacing w:before="83" w:line="219" w:lineRule="auto"/>
              <w:ind w:left="469"/>
              <w:rPr>
                <w:rFonts w:hint="default" w:ascii="Times New Roman" w:hAnsi="Times New Roman" w:cs="Times New Roman"/>
                <w:sz w:val="24"/>
                <w:szCs w:val="24"/>
              </w:rPr>
            </w:pPr>
            <w:r>
              <w:rPr>
                <w:rFonts w:hint="default" w:ascii="Times New Roman" w:hAnsi="Times New Roman" w:cs="Times New Roman"/>
                <w:spacing w:val="-4"/>
                <w:sz w:val="24"/>
                <w:szCs w:val="24"/>
              </w:rPr>
              <w:t>处理方式</w:t>
            </w:r>
          </w:p>
        </w:tc>
      </w:tr>
      <w:tr w14:paraId="49D3C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95" w:type="dxa"/>
            <w:vAlign w:val="top"/>
          </w:tcPr>
          <w:p w14:paraId="2388ECF3">
            <w:pPr>
              <w:spacing w:before="121" w:line="186" w:lineRule="auto"/>
              <w:ind w:left="411"/>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w:t>
            </w:r>
          </w:p>
        </w:tc>
        <w:tc>
          <w:tcPr>
            <w:tcW w:w="1471" w:type="dxa"/>
            <w:vAlign w:val="top"/>
          </w:tcPr>
          <w:p w14:paraId="44366F16">
            <w:pPr>
              <w:pStyle w:val="6"/>
              <w:spacing w:before="77" w:line="216" w:lineRule="auto"/>
              <w:ind w:left="145"/>
              <w:rPr>
                <w:rFonts w:hint="default" w:ascii="Times New Roman" w:hAnsi="Times New Roman" w:cs="Times New Roman"/>
                <w:sz w:val="24"/>
                <w:szCs w:val="24"/>
              </w:rPr>
            </w:pPr>
            <w:r>
              <w:rPr>
                <w:rFonts w:hint="default" w:ascii="Times New Roman" w:hAnsi="Times New Roman" w:cs="Times New Roman"/>
                <w:spacing w:val="-3"/>
                <w:sz w:val="24"/>
                <w:szCs w:val="24"/>
              </w:rPr>
              <w:t>金属边角料</w:t>
            </w:r>
          </w:p>
        </w:tc>
        <w:tc>
          <w:tcPr>
            <w:tcW w:w="1358" w:type="dxa"/>
            <w:vAlign w:val="top"/>
          </w:tcPr>
          <w:p w14:paraId="6BB7CB17">
            <w:pPr>
              <w:pStyle w:val="6"/>
              <w:spacing w:before="77" w:line="220" w:lineRule="auto"/>
              <w:ind w:left="212"/>
              <w:rPr>
                <w:rFonts w:hint="default" w:ascii="Times New Roman" w:hAnsi="Times New Roman" w:cs="Times New Roman"/>
                <w:sz w:val="24"/>
                <w:szCs w:val="24"/>
              </w:rPr>
            </w:pPr>
            <w:r>
              <w:rPr>
                <w:rFonts w:hint="default" w:ascii="Times New Roman" w:hAnsi="Times New Roman" w:cs="Times New Roman"/>
                <w:spacing w:val="-5"/>
                <w:sz w:val="24"/>
                <w:szCs w:val="24"/>
              </w:rPr>
              <w:t>一般固废</w:t>
            </w:r>
          </w:p>
        </w:tc>
        <w:tc>
          <w:tcPr>
            <w:tcW w:w="1641" w:type="dxa"/>
            <w:vAlign w:val="top"/>
          </w:tcPr>
          <w:p w14:paraId="1074EEBD">
            <w:pPr>
              <w:pStyle w:val="6"/>
              <w:spacing w:before="77" w:line="220" w:lineRule="auto"/>
              <w:ind w:left="714"/>
              <w:rPr>
                <w:rFonts w:hint="default" w:ascii="Times New Roman" w:hAnsi="Times New Roman" w:cs="Times New Roman"/>
                <w:sz w:val="24"/>
                <w:szCs w:val="24"/>
              </w:rPr>
            </w:pPr>
            <w:r>
              <w:rPr>
                <w:rFonts w:hint="default" w:ascii="Times New Roman" w:hAnsi="Times New Roman" w:cs="Times New Roman"/>
                <w:sz w:val="24"/>
                <w:szCs w:val="24"/>
              </w:rPr>
              <w:t>是</w:t>
            </w:r>
          </w:p>
        </w:tc>
        <w:tc>
          <w:tcPr>
            <w:tcW w:w="1492" w:type="dxa"/>
            <w:vAlign w:val="top"/>
          </w:tcPr>
          <w:p w14:paraId="3774CD99">
            <w:pPr>
              <w:spacing w:before="114" w:line="186" w:lineRule="auto"/>
              <w:ind w:left="498"/>
              <w:rPr>
                <w:rFonts w:hint="default" w:ascii="Times New Roman" w:hAnsi="Times New Roman" w:eastAsia="等线" w:cs="Times New Roman"/>
                <w:sz w:val="22"/>
                <w:szCs w:val="22"/>
              </w:rPr>
            </w:pPr>
            <w:r>
              <w:rPr>
                <w:rFonts w:hint="default" w:ascii="Times New Roman" w:hAnsi="Times New Roman" w:eastAsia="等线" w:cs="Times New Roman"/>
                <w:spacing w:val="-2"/>
                <w:sz w:val="22"/>
                <w:szCs w:val="22"/>
              </w:rPr>
              <w:t>228.8</w:t>
            </w:r>
          </w:p>
        </w:tc>
        <w:tc>
          <w:tcPr>
            <w:tcW w:w="1873" w:type="dxa"/>
            <w:vAlign w:val="top"/>
          </w:tcPr>
          <w:p w14:paraId="3115B0E0">
            <w:pPr>
              <w:pStyle w:val="6"/>
              <w:spacing w:before="77" w:line="217" w:lineRule="auto"/>
              <w:ind w:left="232"/>
              <w:rPr>
                <w:rFonts w:hint="default" w:ascii="Times New Roman" w:hAnsi="Times New Roman" w:cs="Times New Roman"/>
                <w:sz w:val="24"/>
                <w:szCs w:val="24"/>
              </w:rPr>
            </w:pPr>
            <w:r>
              <w:rPr>
                <w:rFonts w:hint="default" w:ascii="Times New Roman" w:hAnsi="Times New Roman" w:cs="Times New Roman"/>
                <w:spacing w:val="-4"/>
                <w:sz w:val="24"/>
                <w:szCs w:val="24"/>
              </w:rPr>
              <w:t>统一收集外售</w:t>
            </w:r>
          </w:p>
        </w:tc>
      </w:tr>
      <w:tr w14:paraId="6D9B7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5" w:type="dxa"/>
            <w:vAlign w:val="top"/>
          </w:tcPr>
          <w:p w14:paraId="0465CA51">
            <w:pPr>
              <w:spacing w:before="124" w:line="186" w:lineRule="auto"/>
              <w:ind w:left="388"/>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w:t>
            </w:r>
          </w:p>
        </w:tc>
        <w:tc>
          <w:tcPr>
            <w:tcW w:w="1471" w:type="dxa"/>
            <w:vAlign w:val="top"/>
          </w:tcPr>
          <w:p w14:paraId="6988A555">
            <w:pPr>
              <w:pStyle w:val="6"/>
              <w:spacing w:before="80" w:line="216" w:lineRule="auto"/>
              <w:ind w:left="148"/>
              <w:rPr>
                <w:rFonts w:hint="default" w:ascii="Times New Roman" w:hAnsi="Times New Roman" w:cs="Times New Roman"/>
                <w:sz w:val="24"/>
                <w:szCs w:val="24"/>
              </w:rPr>
            </w:pPr>
            <w:r>
              <w:rPr>
                <w:rFonts w:hint="default" w:ascii="Times New Roman" w:hAnsi="Times New Roman" w:cs="Times New Roman"/>
                <w:spacing w:val="-3"/>
                <w:sz w:val="24"/>
                <w:szCs w:val="24"/>
              </w:rPr>
              <w:t>废包装材料</w:t>
            </w:r>
          </w:p>
        </w:tc>
        <w:tc>
          <w:tcPr>
            <w:tcW w:w="1358" w:type="dxa"/>
            <w:vAlign w:val="top"/>
          </w:tcPr>
          <w:p w14:paraId="281C1C0D">
            <w:pPr>
              <w:pStyle w:val="6"/>
              <w:spacing w:before="80" w:line="220" w:lineRule="auto"/>
              <w:ind w:left="212"/>
              <w:rPr>
                <w:rFonts w:hint="default" w:ascii="Times New Roman" w:hAnsi="Times New Roman" w:cs="Times New Roman"/>
                <w:sz w:val="24"/>
                <w:szCs w:val="24"/>
              </w:rPr>
            </w:pPr>
            <w:r>
              <w:rPr>
                <w:rFonts w:hint="default" w:ascii="Times New Roman" w:hAnsi="Times New Roman" w:cs="Times New Roman"/>
                <w:spacing w:val="-5"/>
                <w:sz w:val="24"/>
                <w:szCs w:val="24"/>
              </w:rPr>
              <w:t>一般固废</w:t>
            </w:r>
          </w:p>
        </w:tc>
        <w:tc>
          <w:tcPr>
            <w:tcW w:w="1641" w:type="dxa"/>
            <w:vAlign w:val="top"/>
          </w:tcPr>
          <w:p w14:paraId="34346426">
            <w:pPr>
              <w:pStyle w:val="6"/>
              <w:spacing w:before="80" w:line="220" w:lineRule="auto"/>
              <w:ind w:left="714"/>
              <w:rPr>
                <w:rFonts w:hint="default" w:ascii="Times New Roman" w:hAnsi="Times New Roman" w:cs="Times New Roman"/>
                <w:sz w:val="24"/>
                <w:szCs w:val="24"/>
              </w:rPr>
            </w:pPr>
            <w:r>
              <w:rPr>
                <w:rFonts w:hint="default" w:ascii="Times New Roman" w:hAnsi="Times New Roman" w:cs="Times New Roman"/>
                <w:sz w:val="24"/>
                <w:szCs w:val="24"/>
              </w:rPr>
              <w:t>是</w:t>
            </w:r>
          </w:p>
        </w:tc>
        <w:tc>
          <w:tcPr>
            <w:tcW w:w="1492" w:type="dxa"/>
            <w:vAlign w:val="top"/>
          </w:tcPr>
          <w:p w14:paraId="4CA79500">
            <w:pPr>
              <w:spacing w:before="117" w:line="186" w:lineRule="auto"/>
              <w:ind w:left="613"/>
              <w:rPr>
                <w:rFonts w:hint="default" w:ascii="Times New Roman" w:hAnsi="Times New Roman" w:eastAsia="等线" w:cs="Times New Roman"/>
                <w:sz w:val="22"/>
                <w:szCs w:val="22"/>
              </w:rPr>
            </w:pPr>
            <w:r>
              <w:rPr>
                <w:rFonts w:hint="default" w:ascii="Times New Roman" w:hAnsi="Times New Roman" w:eastAsia="等线" w:cs="Times New Roman"/>
                <w:spacing w:val="-4"/>
                <w:sz w:val="22"/>
                <w:szCs w:val="22"/>
              </w:rPr>
              <w:t>7.9</w:t>
            </w:r>
          </w:p>
        </w:tc>
        <w:tc>
          <w:tcPr>
            <w:tcW w:w="1873" w:type="dxa"/>
            <w:vAlign w:val="top"/>
          </w:tcPr>
          <w:p w14:paraId="175B0A9C">
            <w:pPr>
              <w:pStyle w:val="6"/>
              <w:spacing w:before="80" w:line="217" w:lineRule="auto"/>
              <w:ind w:left="232"/>
              <w:rPr>
                <w:rFonts w:hint="default" w:ascii="Times New Roman" w:hAnsi="Times New Roman" w:cs="Times New Roman"/>
                <w:sz w:val="24"/>
                <w:szCs w:val="24"/>
              </w:rPr>
            </w:pPr>
            <w:r>
              <w:rPr>
                <w:rFonts w:hint="default" w:ascii="Times New Roman" w:hAnsi="Times New Roman" w:cs="Times New Roman"/>
                <w:spacing w:val="-4"/>
                <w:sz w:val="24"/>
                <w:szCs w:val="24"/>
              </w:rPr>
              <w:t>统一收集外售</w:t>
            </w:r>
          </w:p>
        </w:tc>
      </w:tr>
      <w:tr w14:paraId="41914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95" w:type="dxa"/>
            <w:vAlign w:val="top"/>
          </w:tcPr>
          <w:p w14:paraId="50E1DA5C">
            <w:pPr>
              <w:spacing w:before="122" w:line="186" w:lineRule="auto"/>
              <w:ind w:left="393"/>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3</w:t>
            </w:r>
          </w:p>
        </w:tc>
        <w:tc>
          <w:tcPr>
            <w:tcW w:w="1471" w:type="dxa"/>
            <w:vAlign w:val="top"/>
          </w:tcPr>
          <w:p w14:paraId="236E9EF3">
            <w:pPr>
              <w:pStyle w:val="6"/>
              <w:spacing w:before="80" w:line="219" w:lineRule="auto"/>
              <w:ind w:left="388"/>
              <w:rPr>
                <w:rFonts w:hint="default" w:ascii="Times New Roman" w:hAnsi="Times New Roman" w:cs="Times New Roman"/>
                <w:sz w:val="24"/>
                <w:szCs w:val="24"/>
              </w:rPr>
            </w:pPr>
            <w:r>
              <w:rPr>
                <w:rFonts w:hint="default" w:ascii="Times New Roman" w:hAnsi="Times New Roman" w:cs="Times New Roman"/>
                <w:spacing w:val="-5"/>
                <w:sz w:val="24"/>
                <w:szCs w:val="24"/>
              </w:rPr>
              <w:t>废次品</w:t>
            </w:r>
          </w:p>
        </w:tc>
        <w:tc>
          <w:tcPr>
            <w:tcW w:w="1358" w:type="dxa"/>
            <w:vAlign w:val="top"/>
          </w:tcPr>
          <w:p w14:paraId="0F25A5F0">
            <w:pPr>
              <w:pStyle w:val="6"/>
              <w:spacing w:before="80" w:line="220" w:lineRule="auto"/>
              <w:ind w:left="212"/>
              <w:rPr>
                <w:rFonts w:hint="default" w:ascii="Times New Roman" w:hAnsi="Times New Roman" w:cs="Times New Roman"/>
                <w:sz w:val="24"/>
                <w:szCs w:val="24"/>
              </w:rPr>
            </w:pPr>
            <w:r>
              <w:rPr>
                <w:rFonts w:hint="default" w:ascii="Times New Roman" w:hAnsi="Times New Roman" w:cs="Times New Roman"/>
                <w:spacing w:val="-5"/>
                <w:sz w:val="24"/>
                <w:szCs w:val="24"/>
              </w:rPr>
              <w:t>一般固废</w:t>
            </w:r>
          </w:p>
        </w:tc>
        <w:tc>
          <w:tcPr>
            <w:tcW w:w="1641" w:type="dxa"/>
            <w:vAlign w:val="top"/>
          </w:tcPr>
          <w:p w14:paraId="2C9F0695">
            <w:pPr>
              <w:pStyle w:val="6"/>
              <w:spacing w:before="80" w:line="220" w:lineRule="auto"/>
              <w:ind w:left="714"/>
              <w:rPr>
                <w:rFonts w:hint="default" w:ascii="Times New Roman" w:hAnsi="Times New Roman" w:cs="Times New Roman"/>
                <w:sz w:val="24"/>
                <w:szCs w:val="24"/>
              </w:rPr>
            </w:pPr>
            <w:r>
              <w:rPr>
                <w:rFonts w:hint="default" w:ascii="Times New Roman" w:hAnsi="Times New Roman" w:cs="Times New Roman"/>
                <w:sz w:val="24"/>
                <w:szCs w:val="24"/>
              </w:rPr>
              <w:t>是</w:t>
            </w:r>
          </w:p>
        </w:tc>
        <w:tc>
          <w:tcPr>
            <w:tcW w:w="1492" w:type="dxa"/>
            <w:vAlign w:val="top"/>
          </w:tcPr>
          <w:p w14:paraId="758F85E3">
            <w:pPr>
              <w:spacing w:before="117" w:line="186" w:lineRule="auto"/>
              <w:ind w:left="614"/>
              <w:rPr>
                <w:rFonts w:hint="default" w:ascii="Times New Roman" w:hAnsi="Times New Roman" w:eastAsia="等线" w:cs="Times New Roman"/>
                <w:sz w:val="22"/>
                <w:szCs w:val="22"/>
              </w:rPr>
            </w:pPr>
            <w:r>
              <w:rPr>
                <w:rFonts w:hint="default" w:ascii="Times New Roman" w:hAnsi="Times New Roman" w:eastAsia="等线" w:cs="Times New Roman"/>
                <w:spacing w:val="-4"/>
                <w:sz w:val="22"/>
                <w:szCs w:val="22"/>
              </w:rPr>
              <w:t>6.5</w:t>
            </w:r>
          </w:p>
        </w:tc>
        <w:tc>
          <w:tcPr>
            <w:tcW w:w="1873" w:type="dxa"/>
            <w:vAlign w:val="top"/>
          </w:tcPr>
          <w:p w14:paraId="57D8AAD6">
            <w:pPr>
              <w:pStyle w:val="6"/>
              <w:spacing w:before="80" w:line="217" w:lineRule="auto"/>
              <w:ind w:left="232"/>
              <w:rPr>
                <w:rFonts w:hint="default" w:ascii="Times New Roman" w:hAnsi="Times New Roman" w:cs="Times New Roman"/>
                <w:sz w:val="24"/>
                <w:szCs w:val="24"/>
              </w:rPr>
            </w:pPr>
            <w:r>
              <w:rPr>
                <w:rFonts w:hint="default" w:ascii="Times New Roman" w:hAnsi="Times New Roman" w:cs="Times New Roman"/>
                <w:spacing w:val="-4"/>
                <w:sz w:val="24"/>
                <w:szCs w:val="24"/>
              </w:rPr>
              <w:t>统一收集外售</w:t>
            </w:r>
          </w:p>
        </w:tc>
      </w:tr>
      <w:tr w14:paraId="074B6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5" w:type="dxa"/>
            <w:vAlign w:val="top"/>
          </w:tcPr>
          <w:p w14:paraId="590B6E81">
            <w:pPr>
              <w:spacing w:before="125" w:line="186" w:lineRule="auto"/>
              <w:ind w:left="387"/>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4</w:t>
            </w:r>
          </w:p>
        </w:tc>
        <w:tc>
          <w:tcPr>
            <w:tcW w:w="1471" w:type="dxa"/>
            <w:vAlign w:val="top"/>
          </w:tcPr>
          <w:p w14:paraId="1372FACA">
            <w:pPr>
              <w:pStyle w:val="6"/>
              <w:spacing w:before="81" w:line="218" w:lineRule="auto"/>
              <w:ind w:left="268"/>
              <w:rPr>
                <w:rFonts w:hint="default" w:ascii="Times New Roman" w:hAnsi="Times New Roman" w:cs="Times New Roman"/>
                <w:sz w:val="24"/>
                <w:szCs w:val="24"/>
              </w:rPr>
            </w:pPr>
            <w:r>
              <w:rPr>
                <w:rFonts w:hint="default" w:ascii="Times New Roman" w:hAnsi="Times New Roman" w:cs="Times New Roman"/>
                <w:spacing w:val="-4"/>
                <w:sz w:val="24"/>
                <w:szCs w:val="24"/>
              </w:rPr>
              <w:t>废乳化液</w:t>
            </w:r>
          </w:p>
        </w:tc>
        <w:tc>
          <w:tcPr>
            <w:tcW w:w="1358" w:type="dxa"/>
            <w:vAlign w:val="top"/>
          </w:tcPr>
          <w:p w14:paraId="69B736B0">
            <w:pPr>
              <w:pStyle w:val="6"/>
              <w:spacing w:before="81" w:line="220" w:lineRule="auto"/>
              <w:ind w:left="454"/>
              <w:rPr>
                <w:rFonts w:hint="default" w:ascii="Times New Roman" w:hAnsi="Times New Roman" w:cs="Times New Roman"/>
                <w:sz w:val="24"/>
                <w:szCs w:val="24"/>
              </w:rPr>
            </w:pPr>
            <w:r>
              <w:rPr>
                <w:rFonts w:hint="default" w:ascii="Times New Roman" w:hAnsi="Times New Roman" w:cs="Times New Roman"/>
                <w:spacing w:val="-6"/>
                <w:sz w:val="24"/>
                <w:szCs w:val="24"/>
              </w:rPr>
              <w:t>危废</w:t>
            </w:r>
          </w:p>
        </w:tc>
        <w:tc>
          <w:tcPr>
            <w:tcW w:w="1641" w:type="dxa"/>
            <w:vAlign w:val="top"/>
          </w:tcPr>
          <w:p w14:paraId="130FB71F">
            <w:pPr>
              <w:pStyle w:val="6"/>
              <w:spacing w:before="81" w:line="220" w:lineRule="auto"/>
              <w:ind w:left="719"/>
              <w:rPr>
                <w:rFonts w:hint="default" w:ascii="Times New Roman" w:hAnsi="Times New Roman" w:eastAsia="仿宋" w:cs="Times New Roman"/>
                <w:sz w:val="24"/>
                <w:szCs w:val="24"/>
                <w:lang w:val="en-US" w:eastAsia="zh-CN"/>
              </w:rPr>
            </w:pPr>
            <w:r>
              <w:rPr>
                <w:rFonts w:hint="default" w:ascii="Times New Roman" w:hAnsi="Times New Roman" w:cs="Times New Roman"/>
                <w:sz w:val="24"/>
                <w:szCs w:val="24"/>
                <w:lang w:val="en-US" w:eastAsia="zh-CN"/>
              </w:rPr>
              <w:t>否</w:t>
            </w:r>
          </w:p>
        </w:tc>
        <w:tc>
          <w:tcPr>
            <w:tcW w:w="1492" w:type="dxa"/>
            <w:vAlign w:val="top"/>
          </w:tcPr>
          <w:p w14:paraId="585BB6CE">
            <w:pPr>
              <w:spacing w:before="117" w:line="186" w:lineRule="auto"/>
              <w:ind w:left="556"/>
              <w:rPr>
                <w:rFonts w:hint="default" w:ascii="Times New Roman" w:hAnsi="Times New Roman" w:eastAsia="等线" w:cs="Times New Roman"/>
                <w:sz w:val="22"/>
                <w:szCs w:val="22"/>
                <w:lang w:val="en-US" w:eastAsia="zh-CN"/>
              </w:rPr>
            </w:pPr>
            <w:r>
              <w:rPr>
                <w:rFonts w:hint="default" w:ascii="Times New Roman" w:hAnsi="Times New Roman" w:eastAsia="等线" w:cs="Times New Roman"/>
                <w:sz w:val="22"/>
                <w:szCs w:val="22"/>
                <w:lang w:val="en-US" w:eastAsia="zh-CN"/>
              </w:rPr>
              <w:t>75.56</w:t>
            </w:r>
          </w:p>
        </w:tc>
        <w:tc>
          <w:tcPr>
            <w:tcW w:w="1873" w:type="dxa"/>
            <w:vAlign w:val="top"/>
          </w:tcPr>
          <w:p w14:paraId="5DF19B19">
            <w:pPr>
              <w:pStyle w:val="6"/>
              <w:spacing w:before="80" w:line="217" w:lineRule="auto"/>
              <w:ind w:left="232"/>
              <w:rPr>
                <w:rFonts w:hint="default" w:ascii="Times New Roman" w:hAnsi="Times New Roman" w:cs="Times New Roman"/>
                <w:sz w:val="24"/>
                <w:szCs w:val="24"/>
              </w:rPr>
            </w:pPr>
            <w:r>
              <w:rPr>
                <w:rFonts w:hint="default" w:ascii="Times New Roman" w:hAnsi="Times New Roman" w:cs="Times New Roman"/>
                <w:spacing w:val="-4"/>
                <w:sz w:val="24"/>
                <w:szCs w:val="24"/>
              </w:rPr>
              <w:t>统一收集外售</w:t>
            </w:r>
          </w:p>
        </w:tc>
      </w:tr>
      <w:tr w14:paraId="42E12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5" w:type="dxa"/>
            <w:shd w:val="clear"/>
            <w:vAlign w:val="top"/>
          </w:tcPr>
          <w:p w14:paraId="3126E3E4">
            <w:pPr>
              <w:spacing w:before="127" w:line="183" w:lineRule="auto"/>
              <w:ind w:left="395" w:leftChars="0"/>
              <w:rPr>
                <w:rFonts w:hint="default" w:ascii="Times New Roman" w:hAnsi="Times New Roman" w:eastAsia="Times New Roman" w:cs="Times New Roman"/>
                <w:snapToGrid w:val="0"/>
                <w:color w:val="000000"/>
                <w:kern w:val="0"/>
                <w:sz w:val="24"/>
                <w:szCs w:val="24"/>
                <w:lang w:val="en-US" w:eastAsia="en-US" w:bidi="ar-SA"/>
              </w:rPr>
            </w:pPr>
            <w:r>
              <w:rPr>
                <w:rFonts w:hint="default" w:ascii="Times New Roman" w:hAnsi="Times New Roman" w:eastAsia="Times New Roman" w:cs="Times New Roman"/>
                <w:sz w:val="24"/>
                <w:szCs w:val="24"/>
              </w:rPr>
              <w:t>5</w:t>
            </w:r>
          </w:p>
        </w:tc>
        <w:tc>
          <w:tcPr>
            <w:tcW w:w="1471" w:type="dxa"/>
            <w:vAlign w:val="top"/>
          </w:tcPr>
          <w:p w14:paraId="2C5B479D">
            <w:pPr>
              <w:pStyle w:val="6"/>
              <w:spacing w:before="81" w:line="218" w:lineRule="auto"/>
              <w:ind w:left="268"/>
              <w:rPr>
                <w:rFonts w:hint="default" w:ascii="Times New Roman" w:hAnsi="Times New Roman" w:eastAsia="仿宋" w:cs="Times New Roman"/>
                <w:spacing w:val="-4"/>
                <w:sz w:val="24"/>
                <w:szCs w:val="24"/>
                <w:lang w:val="en-US" w:eastAsia="zh-CN"/>
              </w:rPr>
            </w:pPr>
            <w:r>
              <w:rPr>
                <w:rFonts w:hint="default" w:ascii="Times New Roman" w:hAnsi="Times New Roman" w:cs="Times New Roman"/>
                <w:spacing w:val="-4"/>
                <w:sz w:val="24"/>
                <w:szCs w:val="24"/>
                <w:lang w:val="en-US" w:eastAsia="zh-CN"/>
              </w:rPr>
              <w:t>含油污泥</w:t>
            </w:r>
          </w:p>
        </w:tc>
        <w:tc>
          <w:tcPr>
            <w:tcW w:w="1358" w:type="dxa"/>
            <w:vAlign w:val="top"/>
          </w:tcPr>
          <w:p w14:paraId="0D031EDB">
            <w:pPr>
              <w:pStyle w:val="6"/>
              <w:spacing w:before="81" w:line="220" w:lineRule="auto"/>
              <w:ind w:left="454"/>
              <w:rPr>
                <w:rFonts w:hint="default" w:ascii="Times New Roman" w:hAnsi="Times New Roman" w:cs="Times New Roman"/>
                <w:spacing w:val="-6"/>
                <w:sz w:val="24"/>
                <w:szCs w:val="24"/>
              </w:rPr>
            </w:pPr>
            <w:r>
              <w:rPr>
                <w:rFonts w:hint="default" w:ascii="Times New Roman" w:hAnsi="Times New Roman" w:cs="Times New Roman"/>
                <w:spacing w:val="-6"/>
                <w:sz w:val="24"/>
                <w:szCs w:val="24"/>
              </w:rPr>
              <w:t>危废</w:t>
            </w:r>
          </w:p>
        </w:tc>
        <w:tc>
          <w:tcPr>
            <w:tcW w:w="1641" w:type="dxa"/>
            <w:vAlign w:val="top"/>
          </w:tcPr>
          <w:p w14:paraId="655394B6">
            <w:pPr>
              <w:pStyle w:val="6"/>
              <w:spacing w:before="81" w:line="220" w:lineRule="auto"/>
              <w:ind w:left="719"/>
              <w:rPr>
                <w:rFonts w:hint="default" w:ascii="Times New Roman" w:hAnsi="Times New Roman" w:eastAsia="仿宋" w:cs="Times New Roman"/>
                <w:sz w:val="24"/>
                <w:szCs w:val="24"/>
                <w:lang w:val="en-US" w:eastAsia="zh-CN"/>
              </w:rPr>
            </w:pPr>
            <w:r>
              <w:rPr>
                <w:rFonts w:hint="default" w:ascii="Times New Roman" w:hAnsi="Times New Roman" w:cs="Times New Roman"/>
                <w:sz w:val="24"/>
                <w:szCs w:val="24"/>
                <w:lang w:val="en-US" w:eastAsia="zh-CN"/>
              </w:rPr>
              <w:t>是</w:t>
            </w:r>
          </w:p>
        </w:tc>
        <w:tc>
          <w:tcPr>
            <w:tcW w:w="1492" w:type="dxa"/>
            <w:vAlign w:val="top"/>
          </w:tcPr>
          <w:p w14:paraId="3849539C">
            <w:pPr>
              <w:spacing w:before="117" w:line="186" w:lineRule="auto"/>
              <w:ind w:left="556"/>
              <w:rPr>
                <w:rFonts w:hint="default" w:ascii="Times New Roman" w:hAnsi="Times New Roman" w:eastAsia="等线" w:cs="Times New Roman"/>
                <w:sz w:val="22"/>
                <w:szCs w:val="22"/>
                <w:lang w:val="en-US" w:eastAsia="zh-CN"/>
              </w:rPr>
            </w:pPr>
            <w:r>
              <w:rPr>
                <w:rFonts w:hint="default" w:ascii="Times New Roman" w:hAnsi="Times New Roman" w:eastAsia="等线" w:cs="Times New Roman"/>
                <w:sz w:val="22"/>
                <w:szCs w:val="22"/>
                <w:lang w:val="en-US" w:eastAsia="zh-CN"/>
              </w:rPr>
              <w:t>1.68</w:t>
            </w:r>
          </w:p>
        </w:tc>
        <w:tc>
          <w:tcPr>
            <w:tcW w:w="1873" w:type="dxa"/>
            <w:vAlign w:val="top"/>
          </w:tcPr>
          <w:p w14:paraId="3CB89679">
            <w:pPr>
              <w:pStyle w:val="6"/>
              <w:spacing w:before="80" w:line="217" w:lineRule="auto"/>
              <w:ind w:left="232"/>
              <w:rPr>
                <w:rFonts w:hint="default" w:ascii="Times New Roman" w:hAnsi="Times New Roman" w:cs="Times New Roman"/>
                <w:spacing w:val="-4"/>
                <w:sz w:val="24"/>
                <w:szCs w:val="24"/>
              </w:rPr>
            </w:pPr>
            <w:r>
              <w:rPr>
                <w:rFonts w:hint="default" w:ascii="Times New Roman" w:hAnsi="Times New Roman" w:cs="Times New Roman"/>
                <w:spacing w:val="-4"/>
                <w:sz w:val="24"/>
                <w:szCs w:val="24"/>
              </w:rPr>
              <w:t>统一收集外售</w:t>
            </w:r>
          </w:p>
        </w:tc>
      </w:tr>
      <w:tr w14:paraId="6D6A8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5" w:type="dxa"/>
            <w:shd w:val="clear"/>
            <w:vAlign w:val="top"/>
          </w:tcPr>
          <w:p w14:paraId="3F84B4E9">
            <w:pPr>
              <w:spacing w:before="124" w:line="186" w:lineRule="auto"/>
              <w:ind w:left="394" w:leftChars="0"/>
              <w:rPr>
                <w:rFonts w:hint="default" w:ascii="Times New Roman" w:hAnsi="Times New Roman" w:eastAsia="Times New Roman" w:cs="Times New Roman"/>
                <w:snapToGrid w:val="0"/>
                <w:color w:val="000000"/>
                <w:kern w:val="0"/>
                <w:sz w:val="24"/>
                <w:szCs w:val="24"/>
                <w:lang w:val="en-US" w:eastAsia="en-US" w:bidi="ar-SA"/>
              </w:rPr>
            </w:pPr>
            <w:r>
              <w:rPr>
                <w:rFonts w:hint="default" w:ascii="Times New Roman" w:hAnsi="Times New Roman" w:eastAsia="Times New Roman" w:cs="Times New Roman"/>
                <w:sz w:val="24"/>
                <w:szCs w:val="24"/>
              </w:rPr>
              <w:t>6</w:t>
            </w:r>
          </w:p>
        </w:tc>
        <w:tc>
          <w:tcPr>
            <w:tcW w:w="1471" w:type="dxa"/>
            <w:vAlign w:val="top"/>
          </w:tcPr>
          <w:p w14:paraId="6B1E66A7">
            <w:pPr>
              <w:pStyle w:val="6"/>
              <w:spacing w:before="82" w:line="218" w:lineRule="auto"/>
              <w:ind w:left="388"/>
              <w:rPr>
                <w:rFonts w:hint="default" w:ascii="Times New Roman" w:hAnsi="Times New Roman" w:cs="Times New Roman"/>
                <w:sz w:val="24"/>
                <w:szCs w:val="24"/>
              </w:rPr>
            </w:pPr>
            <w:r>
              <w:rPr>
                <w:rFonts w:hint="default" w:ascii="Times New Roman" w:hAnsi="Times New Roman" w:cs="Times New Roman"/>
                <w:spacing w:val="-5"/>
                <w:sz w:val="24"/>
                <w:szCs w:val="24"/>
              </w:rPr>
              <w:t>废油桶</w:t>
            </w:r>
          </w:p>
        </w:tc>
        <w:tc>
          <w:tcPr>
            <w:tcW w:w="1358" w:type="dxa"/>
            <w:vAlign w:val="top"/>
          </w:tcPr>
          <w:p w14:paraId="07CF9983">
            <w:pPr>
              <w:pStyle w:val="6"/>
              <w:spacing w:before="82" w:line="220" w:lineRule="auto"/>
              <w:ind w:left="454"/>
              <w:rPr>
                <w:rFonts w:hint="default" w:ascii="Times New Roman" w:hAnsi="Times New Roman" w:cs="Times New Roman"/>
                <w:sz w:val="24"/>
                <w:szCs w:val="24"/>
              </w:rPr>
            </w:pPr>
            <w:r>
              <w:rPr>
                <w:rFonts w:hint="default" w:ascii="Times New Roman" w:hAnsi="Times New Roman" w:cs="Times New Roman"/>
                <w:spacing w:val="-6"/>
                <w:sz w:val="24"/>
                <w:szCs w:val="24"/>
              </w:rPr>
              <w:t>危废</w:t>
            </w:r>
          </w:p>
        </w:tc>
        <w:tc>
          <w:tcPr>
            <w:tcW w:w="1641" w:type="dxa"/>
            <w:vAlign w:val="top"/>
          </w:tcPr>
          <w:p w14:paraId="2511C4F9">
            <w:pPr>
              <w:pStyle w:val="6"/>
              <w:spacing w:before="82" w:line="220" w:lineRule="auto"/>
              <w:ind w:left="714"/>
              <w:rPr>
                <w:rFonts w:hint="default" w:ascii="Times New Roman" w:hAnsi="Times New Roman" w:cs="Times New Roman"/>
                <w:sz w:val="24"/>
                <w:szCs w:val="24"/>
              </w:rPr>
            </w:pPr>
            <w:r>
              <w:rPr>
                <w:rFonts w:hint="default" w:ascii="Times New Roman" w:hAnsi="Times New Roman" w:cs="Times New Roman"/>
                <w:sz w:val="24"/>
                <w:szCs w:val="24"/>
              </w:rPr>
              <w:t>是</w:t>
            </w:r>
          </w:p>
        </w:tc>
        <w:tc>
          <w:tcPr>
            <w:tcW w:w="1492" w:type="dxa"/>
            <w:vAlign w:val="top"/>
          </w:tcPr>
          <w:p w14:paraId="06E56399">
            <w:pPr>
              <w:spacing w:before="119" w:line="186" w:lineRule="auto"/>
              <w:ind w:left="618"/>
              <w:rPr>
                <w:rFonts w:hint="default" w:ascii="Times New Roman" w:hAnsi="Times New Roman" w:eastAsia="等线" w:cs="Times New Roman"/>
                <w:sz w:val="22"/>
                <w:szCs w:val="22"/>
              </w:rPr>
            </w:pPr>
            <w:r>
              <w:rPr>
                <w:rFonts w:hint="default" w:ascii="Times New Roman" w:hAnsi="Times New Roman" w:eastAsia="等线" w:cs="Times New Roman"/>
                <w:spacing w:val="-5"/>
                <w:sz w:val="22"/>
                <w:szCs w:val="22"/>
              </w:rPr>
              <w:t>1.3</w:t>
            </w:r>
          </w:p>
        </w:tc>
        <w:tc>
          <w:tcPr>
            <w:tcW w:w="1873" w:type="dxa"/>
            <w:vAlign w:val="top"/>
          </w:tcPr>
          <w:p w14:paraId="3884BFF2">
            <w:pPr>
              <w:pStyle w:val="6"/>
              <w:spacing w:before="82" w:line="218" w:lineRule="auto"/>
              <w:ind w:left="497"/>
              <w:rPr>
                <w:rFonts w:hint="default" w:ascii="Times New Roman" w:hAnsi="Times New Roman" w:cs="Times New Roman"/>
                <w:sz w:val="24"/>
                <w:szCs w:val="24"/>
              </w:rPr>
            </w:pPr>
            <w:r>
              <w:rPr>
                <w:rFonts w:hint="default" w:ascii="Times New Roman" w:hAnsi="Times New Roman" w:cs="Times New Roman"/>
                <w:spacing w:val="-9"/>
                <w:sz w:val="24"/>
                <w:szCs w:val="24"/>
              </w:rPr>
              <w:t>回收利用</w:t>
            </w:r>
          </w:p>
        </w:tc>
      </w:tr>
      <w:tr w14:paraId="2A367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95" w:type="dxa"/>
            <w:shd w:val="clear"/>
            <w:vAlign w:val="top"/>
          </w:tcPr>
          <w:p w14:paraId="361B2C2E">
            <w:pPr>
              <w:spacing w:before="130" w:line="183" w:lineRule="auto"/>
              <w:ind w:left="392" w:leftChars="0"/>
              <w:rPr>
                <w:rFonts w:hint="default" w:ascii="Times New Roman" w:hAnsi="Times New Roman" w:eastAsia="Times New Roman" w:cs="Times New Roman"/>
                <w:snapToGrid w:val="0"/>
                <w:color w:val="000000"/>
                <w:kern w:val="0"/>
                <w:sz w:val="24"/>
                <w:szCs w:val="24"/>
                <w:lang w:val="en-US" w:eastAsia="en-US" w:bidi="ar-SA"/>
              </w:rPr>
            </w:pPr>
            <w:r>
              <w:rPr>
                <w:rFonts w:hint="default" w:ascii="Times New Roman" w:hAnsi="Times New Roman" w:eastAsia="Times New Roman" w:cs="Times New Roman"/>
                <w:sz w:val="24"/>
                <w:szCs w:val="24"/>
              </w:rPr>
              <w:t>7</w:t>
            </w:r>
          </w:p>
        </w:tc>
        <w:tc>
          <w:tcPr>
            <w:tcW w:w="4470" w:type="dxa"/>
            <w:gridSpan w:val="3"/>
            <w:vAlign w:val="top"/>
          </w:tcPr>
          <w:p w14:paraId="7EC26DA9">
            <w:pPr>
              <w:pStyle w:val="6"/>
              <w:spacing w:before="80" w:line="218" w:lineRule="auto"/>
              <w:ind w:left="1791"/>
              <w:rPr>
                <w:rFonts w:hint="default" w:ascii="Times New Roman" w:hAnsi="Times New Roman" w:cs="Times New Roman"/>
                <w:sz w:val="24"/>
                <w:szCs w:val="24"/>
              </w:rPr>
            </w:pPr>
            <w:r>
              <w:rPr>
                <w:rFonts w:hint="default" w:ascii="Times New Roman" w:hAnsi="Times New Roman" w:cs="Times New Roman"/>
                <w:spacing w:val="-8"/>
                <w:sz w:val="24"/>
                <w:szCs w:val="24"/>
              </w:rPr>
              <w:t>固废合计</w:t>
            </w:r>
          </w:p>
        </w:tc>
        <w:tc>
          <w:tcPr>
            <w:tcW w:w="1492" w:type="dxa"/>
            <w:vAlign w:val="top"/>
          </w:tcPr>
          <w:p w14:paraId="3D2D993F">
            <w:pPr>
              <w:spacing w:before="116" w:line="186" w:lineRule="auto"/>
              <w:ind w:left="498"/>
              <w:rPr>
                <w:rFonts w:hint="default" w:ascii="Times New Roman" w:hAnsi="Times New Roman" w:eastAsia="等线" w:cs="Times New Roman"/>
                <w:sz w:val="22"/>
                <w:szCs w:val="22"/>
                <w:lang w:val="en-US" w:eastAsia="zh-CN"/>
              </w:rPr>
            </w:pPr>
            <w:r>
              <w:rPr>
                <w:rFonts w:hint="default" w:ascii="Times New Roman" w:hAnsi="Times New Roman" w:eastAsia="等线" w:cs="Times New Roman"/>
                <w:spacing w:val="-2"/>
                <w:sz w:val="22"/>
                <w:szCs w:val="22"/>
                <w:lang w:val="en-US" w:eastAsia="zh-CN"/>
              </w:rPr>
              <w:t>321.74</w:t>
            </w:r>
          </w:p>
        </w:tc>
        <w:tc>
          <w:tcPr>
            <w:tcW w:w="1873" w:type="dxa"/>
            <w:vAlign w:val="top"/>
          </w:tcPr>
          <w:p w14:paraId="67F949B7">
            <w:pPr>
              <w:rPr>
                <w:rFonts w:hint="default" w:ascii="Times New Roman" w:hAnsi="Times New Roman" w:cs="Times New Roman"/>
                <w:sz w:val="21"/>
              </w:rPr>
            </w:pPr>
          </w:p>
        </w:tc>
      </w:tr>
      <w:tr w14:paraId="14D91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5" w:type="dxa"/>
            <w:shd w:val="clear"/>
            <w:vAlign w:val="top"/>
          </w:tcPr>
          <w:p w14:paraId="13D29625">
            <w:pPr>
              <w:spacing w:before="124" w:line="186" w:lineRule="auto"/>
              <w:ind w:left="398" w:leftChars="0"/>
              <w:rPr>
                <w:rFonts w:hint="default" w:ascii="Times New Roman" w:hAnsi="Times New Roman" w:eastAsia="Times New Roman" w:cs="Times New Roman"/>
                <w:snapToGrid w:val="0"/>
                <w:color w:val="000000"/>
                <w:kern w:val="0"/>
                <w:sz w:val="24"/>
                <w:szCs w:val="24"/>
                <w:lang w:val="en-US" w:eastAsia="en-US" w:bidi="ar-SA"/>
              </w:rPr>
            </w:pPr>
            <w:r>
              <w:rPr>
                <w:rFonts w:hint="default" w:ascii="Times New Roman" w:hAnsi="Times New Roman" w:eastAsia="Times New Roman" w:cs="Times New Roman"/>
                <w:sz w:val="24"/>
                <w:szCs w:val="24"/>
              </w:rPr>
              <w:t>8</w:t>
            </w:r>
          </w:p>
        </w:tc>
        <w:tc>
          <w:tcPr>
            <w:tcW w:w="4470" w:type="dxa"/>
            <w:gridSpan w:val="3"/>
            <w:vAlign w:val="top"/>
          </w:tcPr>
          <w:p w14:paraId="2D814290">
            <w:pPr>
              <w:pStyle w:val="6"/>
              <w:spacing w:before="83" w:line="218" w:lineRule="auto"/>
              <w:ind w:left="1408"/>
              <w:rPr>
                <w:rFonts w:hint="default" w:ascii="Times New Roman" w:hAnsi="Times New Roman" w:cs="Times New Roman"/>
                <w:sz w:val="24"/>
                <w:szCs w:val="24"/>
              </w:rPr>
            </w:pPr>
            <w:r>
              <w:rPr>
                <w:rFonts w:hint="default" w:ascii="Times New Roman" w:hAnsi="Times New Roman" w:cs="Times New Roman"/>
                <w:spacing w:val="-3"/>
                <w:sz w:val="24"/>
                <w:szCs w:val="24"/>
              </w:rPr>
              <w:t>再利用固废合计</w:t>
            </w:r>
          </w:p>
        </w:tc>
        <w:tc>
          <w:tcPr>
            <w:tcW w:w="1492" w:type="dxa"/>
            <w:vAlign w:val="top"/>
          </w:tcPr>
          <w:p w14:paraId="2A6C6887">
            <w:pPr>
              <w:spacing w:before="130" w:line="179" w:lineRule="auto"/>
              <w:ind w:left="42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246.18</w:t>
            </w:r>
          </w:p>
        </w:tc>
        <w:tc>
          <w:tcPr>
            <w:tcW w:w="1873" w:type="dxa"/>
            <w:vAlign w:val="top"/>
          </w:tcPr>
          <w:p w14:paraId="37A86F8A">
            <w:pPr>
              <w:rPr>
                <w:rFonts w:hint="default" w:ascii="Times New Roman" w:hAnsi="Times New Roman" w:cs="Times New Roman"/>
                <w:sz w:val="21"/>
              </w:rPr>
            </w:pPr>
          </w:p>
        </w:tc>
      </w:tr>
      <w:tr w14:paraId="3AF8C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95" w:type="dxa"/>
            <w:shd w:val="clear"/>
            <w:vAlign w:val="top"/>
          </w:tcPr>
          <w:p w14:paraId="56287A21">
            <w:pPr>
              <w:spacing w:before="127" w:line="186" w:lineRule="auto"/>
              <w:ind w:left="393" w:leftChars="0"/>
              <w:rPr>
                <w:rFonts w:hint="default" w:ascii="Times New Roman" w:hAnsi="Times New Roman" w:eastAsia="Times New Roman" w:cs="Times New Roman"/>
                <w:snapToGrid w:val="0"/>
                <w:color w:val="000000"/>
                <w:kern w:val="0"/>
                <w:sz w:val="24"/>
                <w:szCs w:val="24"/>
                <w:lang w:val="en-US" w:eastAsia="en-US" w:bidi="ar-SA"/>
              </w:rPr>
            </w:pPr>
            <w:r>
              <w:rPr>
                <w:rFonts w:hint="default" w:ascii="Times New Roman" w:hAnsi="Times New Roman" w:eastAsia="Times New Roman" w:cs="Times New Roman"/>
                <w:sz w:val="24"/>
                <w:szCs w:val="24"/>
              </w:rPr>
              <w:t>9</w:t>
            </w:r>
          </w:p>
        </w:tc>
        <w:tc>
          <w:tcPr>
            <w:tcW w:w="4470" w:type="dxa"/>
            <w:gridSpan w:val="3"/>
            <w:vAlign w:val="top"/>
          </w:tcPr>
          <w:p w14:paraId="46F6964D">
            <w:pPr>
              <w:pStyle w:val="6"/>
              <w:spacing w:before="83" w:line="218" w:lineRule="auto"/>
              <w:ind w:left="1771"/>
              <w:rPr>
                <w:rFonts w:hint="default" w:ascii="Times New Roman" w:hAnsi="Times New Roman" w:cs="Times New Roman"/>
                <w:sz w:val="24"/>
                <w:szCs w:val="24"/>
              </w:rPr>
            </w:pPr>
            <w:r>
              <w:rPr>
                <w:rFonts w:hint="default" w:ascii="Times New Roman" w:hAnsi="Times New Roman" w:cs="Times New Roman"/>
                <w:spacing w:val="-5"/>
                <w:sz w:val="24"/>
                <w:szCs w:val="24"/>
              </w:rPr>
              <w:t>危废合计</w:t>
            </w:r>
          </w:p>
        </w:tc>
        <w:tc>
          <w:tcPr>
            <w:tcW w:w="1492" w:type="dxa"/>
            <w:vAlign w:val="top"/>
          </w:tcPr>
          <w:p w14:paraId="6B6BFBDC">
            <w:pPr>
              <w:spacing w:before="130" w:line="179" w:lineRule="auto"/>
              <w:ind w:left="483"/>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78.54</w:t>
            </w:r>
          </w:p>
        </w:tc>
        <w:tc>
          <w:tcPr>
            <w:tcW w:w="1873" w:type="dxa"/>
            <w:vAlign w:val="top"/>
          </w:tcPr>
          <w:p w14:paraId="6A9308D3">
            <w:pPr>
              <w:rPr>
                <w:rFonts w:hint="default" w:ascii="Times New Roman" w:hAnsi="Times New Roman" w:cs="Times New Roman"/>
                <w:sz w:val="21"/>
              </w:rPr>
            </w:pPr>
          </w:p>
        </w:tc>
      </w:tr>
      <w:tr w14:paraId="7BB63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95" w:type="dxa"/>
            <w:shd w:val="clear"/>
            <w:vAlign w:val="top"/>
          </w:tcPr>
          <w:p w14:paraId="4B7F9927">
            <w:pPr>
              <w:spacing w:before="125" w:line="186" w:lineRule="auto"/>
              <w:ind w:left="351" w:leftChars="0"/>
              <w:rPr>
                <w:rFonts w:hint="default" w:ascii="Times New Roman" w:hAnsi="Times New Roman" w:eastAsia="Times New Roman" w:cs="Times New Roman"/>
                <w:snapToGrid w:val="0"/>
                <w:color w:val="000000"/>
                <w:kern w:val="0"/>
                <w:sz w:val="24"/>
                <w:szCs w:val="24"/>
                <w:lang w:val="en-US" w:eastAsia="en-US" w:bidi="ar-SA"/>
              </w:rPr>
            </w:pPr>
            <w:r>
              <w:rPr>
                <w:rFonts w:hint="default" w:ascii="Times New Roman" w:hAnsi="Times New Roman" w:eastAsia="Times New Roman" w:cs="Times New Roman"/>
                <w:spacing w:val="-15"/>
                <w:sz w:val="24"/>
                <w:szCs w:val="24"/>
              </w:rPr>
              <w:t>10</w:t>
            </w:r>
          </w:p>
        </w:tc>
        <w:tc>
          <w:tcPr>
            <w:tcW w:w="4470" w:type="dxa"/>
            <w:gridSpan w:val="3"/>
            <w:vAlign w:val="top"/>
          </w:tcPr>
          <w:p w14:paraId="7B9B4296">
            <w:pPr>
              <w:pStyle w:val="6"/>
              <w:spacing w:before="83" w:line="218" w:lineRule="auto"/>
              <w:ind w:left="1529"/>
              <w:rPr>
                <w:rFonts w:hint="default" w:ascii="Times New Roman" w:hAnsi="Times New Roman" w:cs="Times New Roman"/>
                <w:sz w:val="24"/>
                <w:szCs w:val="24"/>
              </w:rPr>
            </w:pPr>
            <w:r>
              <w:rPr>
                <w:rFonts w:hint="default" w:ascii="Times New Roman" w:hAnsi="Times New Roman" w:cs="Times New Roman"/>
                <w:spacing w:val="-4"/>
                <w:sz w:val="24"/>
                <w:szCs w:val="24"/>
              </w:rPr>
              <w:t>一般固废合计</w:t>
            </w:r>
          </w:p>
        </w:tc>
        <w:tc>
          <w:tcPr>
            <w:tcW w:w="1492" w:type="dxa"/>
            <w:vAlign w:val="top"/>
          </w:tcPr>
          <w:p w14:paraId="2E0DF5EA">
            <w:pPr>
              <w:spacing w:before="115" w:line="185" w:lineRule="auto"/>
              <w:ind w:left="413"/>
              <w:rPr>
                <w:rFonts w:hint="default" w:ascii="Times New Roman" w:hAnsi="Times New Roman" w:eastAsia="等线" w:cs="Times New Roman"/>
                <w:sz w:val="24"/>
                <w:szCs w:val="24"/>
              </w:rPr>
            </w:pPr>
            <w:r>
              <w:rPr>
                <w:rFonts w:hint="default" w:ascii="Times New Roman" w:hAnsi="Times New Roman" w:eastAsia="等线" w:cs="Times New Roman"/>
                <w:spacing w:val="-2"/>
                <w:sz w:val="24"/>
                <w:szCs w:val="24"/>
              </w:rPr>
              <w:t>243.20</w:t>
            </w:r>
          </w:p>
        </w:tc>
        <w:tc>
          <w:tcPr>
            <w:tcW w:w="1873" w:type="dxa"/>
            <w:vAlign w:val="top"/>
          </w:tcPr>
          <w:p w14:paraId="40B25E7A">
            <w:pPr>
              <w:rPr>
                <w:rFonts w:hint="default" w:ascii="Times New Roman" w:hAnsi="Times New Roman" w:cs="Times New Roman"/>
                <w:sz w:val="21"/>
              </w:rPr>
            </w:pPr>
          </w:p>
        </w:tc>
      </w:tr>
      <w:tr w14:paraId="71ABA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95" w:type="dxa"/>
            <w:vAlign w:val="top"/>
          </w:tcPr>
          <w:p w14:paraId="24D4FF05">
            <w:pPr>
              <w:spacing w:before="125" w:line="186" w:lineRule="auto"/>
              <w:ind w:left="351"/>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11</w:t>
            </w:r>
          </w:p>
        </w:tc>
        <w:tc>
          <w:tcPr>
            <w:tcW w:w="4470" w:type="dxa"/>
            <w:gridSpan w:val="3"/>
            <w:vAlign w:val="top"/>
          </w:tcPr>
          <w:p w14:paraId="71CACC84">
            <w:pPr>
              <w:pStyle w:val="6"/>
              <w:spacing w:before="83" w:line="218" w:lineRule="auto"/>
              <w:ind w:left="1171"/>
              <w:rPr>
                <w:rFonts w:hint="default" w:ascii="Times New Roman" w:hAnsi="Times New Roman" w:cs="Times New Roman"/>
                <w:sz w:val="24"/>
                <w:szCs w:val="24"/>
              </w:rPr>
            </w:pPr>
            <w:r>
              <w:rPr>
                <w:rFonts w:hint="default" w:ascii="Times New Roman" w:hAnsi="Times New Roman" w:cs="Times New Roman"/>
                <w:spacing w:val="-3"/>
                <w:sz w:val="24"/>
                <w:szCs w:val="24"/>
              </w:rPr>
              <w:t>工业固废综合利用率</w:t>
            </w:r>
          </w:p>
        </w:tc>
        <w:tc>
          <w:tcPr>
            <w:tcW w:w="1492" w:type="dxa"/>
            <w:vAlign w:val="top"/>
          </w:tcPr>
          <w:p w14:paraId="277B84D5">
            <w:pPr>
              <w:spacing w:before="113" w:line="185" w:lineRule="auto"/>
              <w:ind w:left="415"/>
              <w:rPr>
                <w:rFonts w:hint="default" w:ascii="Times New Roman" w:hAnsi="Times New Roman" w:eastAsia="等线" w:cs="Times New Roman"/>
                <w:sz w:val="24"/>
                <w:szCs w:val="24"/>
              </w:rPr>
            </w:pPr>
            <w:r>
              <w:rPr>
                <w:rFonts w:hint="default" w:ascii="Times New Roman" w:hAnsi="Times New Roman" w:eastAsia="等线" w:cs="Times New Roman"/>
                <w:spacing w:val="-2"/>
                <w:sz w:val="24"/>
                <w:szCs w:val="24"/>
                <w:lang w:val="en-US" w:eastAsia="zh-CN"/>
              </w:rPr>
              <w:t>76.52</w:t>
            </w:r>
            <w:r>
              <w:rPr>
                <w:rFonts w:hint="default" w:ascii="Times New Roman" w:hAnsi="Times New Roman" w:eastAsia="等线" w:cs="Times New Roman"/>
                <w:spacing w:val="-2"/>
                <w:sz w:val="24"/>
                <w:szCs w:val="24"/>
              </w:rPr>
              <w:t>%</w:t>
            </w:r>
          </w:p>
        </w:tc>
        <w:tc>
          <w:tcPr>
            <w:tcW w:w="1873" w:type="dxa"/>
            <w:vAlign w:val="top"/>
          </w:tcPr>
          <w:p w14:paraId="09C2CE4B">
            <w:pPr>
              <w:rPr>
                <w:rFonts w:hint="default" w:ascii="Times New Roman" w:hAnsi="Times New Roman" w:cs="Times New Roman"/>
                <w:sz w:val="21"/>
              </w:rPr>
            </w:pPr>
          </w:p>
        </w:tc>
      </w:tr>
    </w:tbl>
    <w:p w14:paraId="506CB1EC">
      <w:pPr>
        <w:spacing w:before="312" w:line="220" w:lineRule="auto"/>
        <w:ind w:left="1473"/>
        <w:rPr>
          <w:rFonts w:ascii="宋体" w:hAnsi="宋体" w:eastAsia="宋体" w:cs="宋体"/>
          <w:sz w:val="24"/>
          <w:szCs w:val="24"/>
        </w:rPr>
      </w:pPr>
      <w:r>
        <w:rPr>
          <w:rFonts w:ascii="宋体" w:hAnsi="宋体" w:eastAsia="宋体" w:cs="宋体"/>
          <w:spacing w:val="-5"/>
          <w:sz w:val="24"/>
          <w:szCs w:val="24"/>
        </w:rPr>
        <w:t>2、能源节约</w:t>
      </w:r>
    </w:p>
    <w:p w14:paraId="475AABB2">
      <w:pPr>
        <w:spacing w:before="182" w:line="355" w:lineRule="auto"/>
        <w:ind w:left="988" w:right="124" w:firstLine="489"/>
        <w:rPr>
          <w:rFonts w:ascii="宋体" w:hAnsi="宋体" w:eastAsia="宋体" w:cs="宋体"/>
          <w:sz w:val="24"/>
          <w:szCs w:val="24"/>
        </w:rPr>
      </w:pPr>
      <w:r>
        <w:rPr>
          <w:rFonts w:ascii="宋体" w:hAnsi="宋体" w:eastAsia="宋体" w:cs="宋体"/>
          <w:spacing w:val="2"/>
          <w:sz w:val="24"/>
          <w:szCs w:val="24"/>
        </w:rPr>
        <w:t>公司积极增强员工的环境意识和素质，推进垃圾分类工作，做好生活垃圾和</w:t>
      </w:r>
      <w:r>
        <w:rPr>
          <w:rFonts w:ascii="宋体" w:hAnsi="宋体" w:eastAsia="宋体" w:cs="宋体"/>
          <w:spacing w:val="14"/>
          <w:sz w:val="24"/>
          <w:szCs w:val="24"/>
        </w:rPr>
        <w:t xml:space="preserve"> </w:t>
      </w:r>
      <w:r>
        <w:rPr>
          <w:rFonts w:ascii="宋体" w:hAnsi="宋体" w:eastAsia="宋体" w:cs="宋体"/>
          <w:spacing w:val="2"/>
          <w:sz w:val="24"/>
          <w:szCs w:val="24"/>
        </w:rPr>
        <w:t>工业废物的分类再利用、减量化和无害化工作，公司尽力尽责做好汽车配件行业</w:t>
      </w:r>
      <w:r>
        <w:rPr>
          <w:rFonts w:ascii="宋体" w:hAnsi="宋体" w:eastAsia="宋体" w:cs="宋体"/>
          <w:spacing w:val="16"/>
          <w:sz w:val="24"/>
          <w:szCs w:val="24"/>
        </w:rPr>
        <w:t xml:space="preserve"> </w:t>
      </w:r>
      <w:r>
        <w:rPr>
          <w:rFonts w:ascii="宋体" w:hAnsi="宋体" w:eastAsia="宋体" w:cs="宋体"/>
          <w:spacing w:val="2"/>
          <w:sz w:val="24"/>
          <w:szCs w:val="24"/>
        </w:rPr>
        <w:t>的环境示范作用。公司的清洁生产和节能工作，是以“经济效益、环境效益和社</w:t>
      </w:r>
      <w:r>
        <w:rPr>
          <w:rFonts w:ascii="宋体" w:hAnsi="宋体" w:eastAsia="宋体" w:cs="宋体"/>
          <w:spacing w:val="16"/>
          <w:sz w:val="24"/>
          <w:szCs w:val="24"/>
        </w:rPr>
        <w:t xml:space="preserve"> </w:t>
      </w:r>
      <w:r>
        <w:rPr>
          <w:rFonts w:ascii="宋体" w:hAnsi="宋体" w:eastAsia="宋体" w:cs="宋体"/>
          <w:spacing w:val="2"/>
          <w:sz w:val="24"/>
          <w:szCs w:val="24"/>
        </w:rPr>
        <w:t>会效益”为目标，在经济可行、效益显著、技术进步的良性循环中积极推进，能</w:t>
      </w:r>
      <w:r>
        <w:rPr>
          <w:rFonts w:ascii="宋体" w:hAnsi="宋体" w:eastAsia="宋体" w:cs="宋体"/>
          <w:spacing w:val="16"/>
          <w:sz w:val="24"/>
          <w:szCs w:val="24"/>
        </w:rPr>
        <w:t xml:space="preserve"> </w:t>
      </w:r>
      <w:r>
        <w:rPr>
          <w:rFonts w:ascii="宋体" w:hAnsi="宋体" w:eastAsia="宋体" w:cs="宋体"/>
          <w:spacing w:val="2"/>
          <w:sz w:val="24"/>
          <w:szCs w:val="24"/>
        </w:rPr>
        <w:t>耗不断降低，资源消耗逐渐减少。公司非常重视清洁生产、节能节水工作的部署</w:t>
      </w:r>
      <w:r>
        <w:rPr>
          <w:rFonts w:ascii="宋体" w:hAnsi="宋体" w:eastAsia="宋体" w:cs="宋体"/>
          <w:spacing w:val="16"/>
          <w:sz w:val="24"/>
          <w:szCs w:val="24"/>
        </w:rPr>
        <w:t xml:space="preserve"> </w:t>
      </w:r>
      <w:r>
        <w:rPr>
          <w:rFonts w:ascii="宋体" w:hAnsi="宋体" w:eastAsia="宋体" w:cs="宋体"/>
          <w:spacing w:val="2"/>
          <w:sz w:val="24"/>
          <w:szCs w:val="24"/>
        </w:rPr>
        <w:t>和展开，在过去的几年内，先后多次对生产和生活的设施进行节能节水改造，引</w:t>
      </w:r>
      <w:r>
        <w:rPr>
          <w:rFonts w:ascii="宋体" w:hAnsi="宋体" w:eastAsia="宋体" w:cs="宋体"/>
          <w:spacing w:val="16"/>
          <w:sz w:val="24"/>
          <w:szCs w:val="24"/>
        </w:rPr>
        <w:t xml:space="preserve"> </w:t>
      </w:r>
      <w:r>
        <w:rPr>
          <w:rFonts w:ascii="宋体" w:hAnsi="宋体" w:eastAsia="宋体" w:cs="宋体"/>
          <w:spacing w:val="-3"/>
          <w:sz w:val="24"/>
          <w:szCs w:val="24"/>
        </w:rPr>
        <w:t>进太阳能等新一代的绿色高效能源。</w:t>
      </w:r>
    </w:p>
    <w:p w14:paraId="1AE9E458">
      <w:pPr>
        <w:spacing w:line="355" w:lineRule="auto"/>
        <w:rPr>
          <w:rFonts w:ascii="宋体" w:hAnsi="宋体" w:eastAsia="宋体" w:cs="宋体"/>
          <w:sz w:val="24"/>
          <w:szCs w:val="24"/>
        </w:rPr>
        <w:sectPr>
          <w:footerReference r:id="rId24" w:type="default"/>
          <w:pgSz w:w="11912" w:h="16841"/>
          <w:pgMar w:top="1074" w:right="1586" w:bottom="1360" w:left="720" w:header="399" w:footer="1199" w:gutter="0"/>
          <w:cols w:space="720" w:num="1"/>
        </w:sectPr>
      </w:pPr>
    </w:p>
    <w:p w14:paraId="12A1A97F">
      <w:pPr>
        <w:pStyle w:val="2"/>
        <w:spacing w:line="285" w:lineRule="auto"/>
      </w:pPr>
    </w:p>
    <w:p w14:paraId="77D42F0E">
      <w:pPr>
        <w:pStyle w:val="2"/>
        <w:spacing w:line="285" w:lineRule="auto"/>
      </w:pPr>
    </w:p>
    <w:p w14:paraId="7FF4762C">
      <w:pPr>
        <w:spacing w:before="100" w:line="225" w:lineRule="auto"/>
        <w:ind w:left="1006"/>
        <w:outlineLvl w:val="0"/>
        <w:rPr>
          <w:rFonts w:ascii="宋体" w:hAnsi="宋体" w:eastAsia="宋体" w:cs="宋体"/>
          <w:sz w:val="31"/>
          <w:szCs w:val="31"/>
        </w:rPr>
      </w:pPr>
      <w:r>
        <w:rPr>
          <w:rFonts w:ascii="宋体" w:hAnsi="宋体" w:eastAsia="宋体" w:cs="宋体"/>
          <w:spacing w:val="3"/>
          <w:sz w:val="31"/>
          <w:szCs w:val="31"/>
        </w:rPr>
        <w:t>（五）安全生产</w:t>
      </w:r>
    </w:p>
    <w:p w14:paraId="68B4C579">
      <w:pPr>
        <w:spacing w:before="291" w:line="220" w:lineRule="auto"/>
        <w:ind w:left="1476"/>
        <w:rPr>
          <w:rFonts w:ascii="宋体" w:hAnsi="宋体" w:eastAsia="宋体" w:cs="宋体"/>
          <w:sz w:val="24"/>
          <w:szCs w:val="24"/>
        </w:rPr>
      </w:pPr>
      <w:r>
        <w:rPr>
          <w:rFonts w:ascii="宋体" w:hAnsi="宋体" w:eastAsia="宋体" w:cs="宋体"/>
          <w:spacing w:val="-1"/>
          <w:sz w:val="24"/>
          <w:szCs w:val="24"/>
        </w:rPr>
        <w:t>（1）公司对安全生产保障工作有着深刻的认识，始终坚持“安全就是生产</w:t>
      </w:r>
    </w:p>
    <w:p w14:paraId="04D1C28B">
      <w:pPr>
        <w:spacing w:before="182" w:line="220" w:lineRule="auto"/>
        <w:ind w:left="994"/>
        <w:rPr>
          <w:rFonts w:ascii="宋体" w:hAnsi="宋体" w:eastAsia="宋体" w:cs="宋体"/>
          <w:sz w:val="24"/>
          <w:szCs w:val="24"/>
        </w:rPr>
      </w:pPr>
      <w:r>
        <w:rPr>
          <w:rFonts w:ascii="宋体" w:hAnsi="宋体" w:eastAsia="宋体" w:cs="宋体"/>
          <w:spacing w:val="-2"/>
          <w:sz w:val="24"/>
          <w:szCs w:val="24"/>
        </w:rPr>
        <w:t>力”的理念，确保设备安全运行、生产安全运行、职工安全上下岗。</w:t>
      </w:r>
    </w:p>
    <w:p w14:paraId="160A0D81">
      <w:pPr>
        <w:spacing w:before="179" w:line="354" w:lineRule="auto"/>
        <w:ind w:left="989" w:right="305" w:firstLine="488"/>
        <w:jc w:val="both"/>
        <w:rPr>
          <w:rFonts w:ascii="宋体" w:hAnsi="宋体" w:eastAsia="宋体" w:cs="宋体"/>
          <w:sz w:val="24"/>
          <w:szCs w:val="24"/>
        </w:rPr>
      </w:pPr>
      <w:r>
        <w:rPr>
          <w:rFonts w:ascii="宋体" w:hAnsi="宋体" w:eastAsia="宋体" w:cs="宋体"/>
          <w:spacing w:val="-1"/>
          <w:sz w:val="24"/>
          <w:szCs w:val="24"/>
        </w:rPr>
        <w:t>公司坚持“安全就是生命，安全就是幸福，安全就是效益”的安全理念，以</w:t>
      </w:r>
      <w:r>
        <w:rPr>
          <w:rFonts w:ascii="宋体" w:hAnsi="宋体" w:eastAsia="宋体" w:cs="宋体"/>
          <w:spacing w:val="15"/>
          <w:sz w:val="24"/>
          <w:szCs w:val="24"/>
        </w:rPr>
        <w:t xml:space="preserve"> </w:t>
      </w:r>
      <w:r>
        <w:rPr>
          <w:rFonts w:ascii="宋体" w:hAnsi="宋体" w:eastAsia="宋体" w:cs="宋体"/>
          <w:sz w:val="24"/>
          <w:szCs w:val="24"/>
        </w:rPr>
        <w:t>落实安全生产责任制为核心，全面贯彻年初制定的安全生</w:t>
      </w:r>
      <w:r>
        <w:rPr>
          <w:rFonts w:ascii="宋体" w:hAnsi="宋体" w:eastAsia="宋体" w:cs="宋体"/>
          <w:spacing w:val="-1"/>
          <w:sz w:val="24"/>
          <w:szCs w:val="24"/>
        </w:rPr>
        <w:t>产目标管理方针，在政</w:t>
      </w:r>
      <w:r>
        <w:rPr>
          <w:rFonts w:ascii="宋体" w:hAnsi="宋体" w:eastAsia="宋体" w:cs="宋体"/>
          <w:sz w:val="24"/>
          <w:szCs w:val="24"/>
        </w:rPr>
        <w:t xml:space="preserve"> 府有关职能部门的业务指导下，依靠各单位的积极参与和</w:t>
      </w:r>
      <w:r>
        <w:rPr>
          <w:rFonts w:ascii="宋体" w:hAnsi="宋体" w:eastAsia="宋体" w:cs="宋体"/>
          <w:spacing w:val="-1"/>
          <w:sz w:val="24"/>
          <w:szCs w:val="24"/>
        </w:rPr>
        <w:t>共同努力，全面开展对</w:t>
      </w:r>
      <w:r>
        <w:rPr>
          <w:rFonts w:ascii="宋体" w:hAnsi="宋体" w:eastAsia="宋体" w:cs="宋体"/>
          <w:sz w:val="24"/>
          <w:szCs w:val="24"/>
        </w:rPr>
        <w:t xml:space="preserve"> 安全生产、消防安全、安全生产教育培训、特种作业监管</w:t>
      </w:r>
      <w:r>
        <w:rPr>
          <w:rFonts w:ascii="宋体" w:hAnsi="宋体" w:eastAsia="宋体" w:cs="宋体"/>
          <w:spacing w:val="-1"/>
          <w:sz w:val="24"/>
          <w:szCs w:val="24"/>
        </w:rPr>
        <w:t>、危险化学品监控、事</w:t>
      </w:r>
      <w:r>
        <w:rPr>
          <w:rFonts w:ascii="宋体" w:hAnsi="宋体" w:eastAsia="宋体" w:cs="宋体"/>
          <w:sz w:val="24"/>
          <w:szCs w:val="24"/>
        </w:rPr>
        <w:t xml:space="preserve"> </w:t>
      </w:r>
      <w:r>
        <w:rPr>
          <w:rFonts w:ascii="宋体" w:hAnsi="宋体" w:eastAsia="宋体" w:cs="宋体"/>
          <w:spacing w:val="-3"/>
          <w:sz w:val="24"/>
          <w:szCs w:val="24"/>
        </w:rPr>
        <w:t>故调查、安全检查等安全生产管理工作。</w:t>
      </w:r>
    </w:p>
    <w:p w14:paraId="6956CAD0">
      <w:pPr>
        <w:spacing w:before="35" w:line="220" w:lineRule="auto"/>
        <w:ind w:left="1470"/>
        <w:rPr>
          <w:rFonts w:ascii="宋体" w:hAnsi="宋体" w:eastAsia="宋体" w:cs="宋体"/>
          <w:sz w:val="24"/>
          <w:szCs w:val="24"/>
        </w:rPr>
      </w:pPr>
      <w:r>
        <w:rPr>
          <w:rFonts w:ascii="宋体" w:hAnsi="宋体" w:eastAsia="宋体" w:cs="宋体"/>
          <w:spacing w:val="-1"/>
          <w:sz w:val="24"/>
          <w:szCs w:val="24"/>
        </w:rPr>
        <w:t>创建安全生产（劳动保护）环境，公司严格执行《劳动法》《安全生产法》</w:t>
      </w:r>
    </w:p>
    <w:p w14:paraId="3171F4CA">
      <w:pPr>
        <w:spacing w:before="179" w:line="353" w:lineRule="auto"/>
        <w:ind w:left="991" w:right="21"/>
        <w:rPr>
          <w:rFonts w:ascii="宋体" w:hAnsi="宋体" w:eastAsia="宋体" w:cs="宋体"/>
          <w:sz w:val="24"/>
          <w:szCs w:val="24"/>
        </w:rPr>
      </w:pPr>
      <w:r>
        <w:rPr>
          <w:rFonts w:ascii="宋体" w:hAnsi="宋体" w:eastAsia="宋体" w:cs="宋体"/>
          <w:sz w:val="24"/>
          <w:szCs w:val="24"/>
        </w:rPr>
        <w:t>和《职业病防治法》等相关法律法规，制定和完善了</w:t>
      </w:r>
      <w:r>
        <w:rPr>
          <w:rFonts w:ascii="宋体" w:hAnsi="宋体" w:eastAsia="宋体" w:cs="宋体"/>
          <w:spacing w:val="-1"/>
          <w:sz w:val="24"/>
          <w:szCs w:val="24"/>
        </w:rPr>
        <w:t>《安全生产“五同时”管理</w:t>
      </w:r>
      <w:r>
        <w:rPr>
          <w:rFonts w:ascii="宋体" w:hAnsi="宋体" w:eastAsia="宋体" w:cs="宋体"/>
          <w:sz w:val="24"/>
          <w:szCs w:val="24"/>
        </w:rPr>
        <w:t xml:space="preserve">   制度》《安全生产投入及费用提取和使用管理制度》</w:t>
      </w:r>
      <w:r>
        <w:rPr>
          <w:rFonts w:ascii="宋体" w:hAnsi="宋体" w:eastAsia="宋体" w:cs="宋体"/>
          <w:spacing w:val="-1"/>
          <w:sz w:val="24"/>
          <w:szCs w:val="24"/>
        </w:rPr>
        <w:t>《消防安全管理制度》《防</w:t>
      </w:r>
      <w:r>
        <w:rPr>
          <w:rFonts w:ascii="宋体" w:hAnsi="宋体" w:eastAsia="宋体" w:cs="宋体"/>
          <w:sz w:val="24"/>
          <w:szCs w:val="24"/>
        </w:rPr>
        <w:t xml:space="preserve">   </w:t>
      </w:r>
      <w:r>
        <w:rPr>
          <w:rFonts w:ascii="宋体" w:hAnsi="宋体" w:eastAsia="宋体" w:cs="宋体"/>
          <w:spacing w:val="1"/>
          <w:sz w:val="24"/>
          <w:szCs w:val="24"/>
        </w:rPr>
        <w:t>尘防毒设施管理制度》《电器安全管理制度》等制度，并在日常实施中严</w:t>
      </w:r>
      <w:r>
        <w:rPr>
          <w:rFonts w:ascii="宋体" w:hAnsi="宋体" w:eastAsia="宋体" w:cs="宋体"/>
          <w:sz w:val="24"/>
          <w:szCs w:val="24"/>
        </w:rPr>
        <w:t xml:space="preserve">格控制， </w:t>
      </w:r>
      <w:r>
        <w:rPr>
          <w:rFonts w:ascii="宋体" w:hAnsi="宋体" w:eastAsia="宋体" w:cs="宋体"/>
          <w:spacing w:val="-3"/>
          <w:sz w:val="24"/>
          <w:szCs w:val="24"/>
        </w:rPr>
        <w:t>给员工营造一个安全工作环境。</w:t>
      </w:r>
    </w:p>
    <w:p w14:paraId="1503C285">
      <w:pPr>
        <w:spacing w:before="36" w:line="350" w:lineRule="auto"/>
        <w:ind w:left="991" w:right="21" w:firstLine="481"/>
        <w:rPr>
          <w:rFonts w:ascii="宋体" w:hAnsi="宋体" w:eastAsia="宋体" w:cs="宋体"/>
          <w:sz w:val="24"/>
          <w:szCs w:val="24"/>
        </w:rPr>
      </w:pPr>
      <w:r>
        <w:rPr>
          <w:rFonts w:ascii="宋体" w:hAnsi="宋体" w:eastAsia="宋体" w:cs="宋体"/>
          <w:sz w:val="24"/>
          <w:szCs w:val="24"/>
        </w:rPr>
        <w:t>组织开展对危险源、环境因素及关键场所的</w:t>
      </w:r>
      <w:r>
        <w:rPr>
          <w:rFonts w:ascii="宋体" w:hAnsi="宋体" w:eastAsia="宋体" w:cs="宋体"/>
          <w:spacing w:val="-1"/>
          <w:sz w:val="24"/>
          <w:szCs w:val="24"/>
        </w:rPr>
        <w:t>识别，明确测量方法和指标，采</w:t>
      </w:r>
      <w:r>
        <w:rPr>
          <w:rFonts w:ascii="宋体" w:hAnsi="宋体" w:eastAsia="宋体" w:cs="宋体"/>
          <w:sz w:val="24"/>
          <w:szCs w:val="24"/>
        </w:rPr>
        <w:t xml:space="preserve">   </w:t>
      </w:r>
      <w:r>
        <w:rPr>
          <w:rFonts w:ascii="宋体" w:hAnsi="宋体" w:eastAsia="宋体" w:cs="宋体"/>
          <w:spacing w:val="1"/>
          <w:sz w:val="24"/>
          <w:szCs w:val="24"/>
        </w:rPr>
        <w:t>取一系列预防措施：改造、更新、完善安全设施，发放劳保用品，监督劳</w:t>
      </w:r>
      <w:r>
        <w:rPr>
          <w:rFonts w:ascii="宋体" w:hAnsi="宋体" w:eastAsia="宋体" w:cs="宋体"/>
          <w:sz w:val="24"/>
          <w:szCs w:val="24"/>
        </w:rPr>
        <w:t xml:space="preserve">动保护， </w:t>
      </w:r>
      <w:r>
        <w:rPr>
          <w:rFonts w:ascii="宋体" w:hAnsi="宋体" w:eastAsia="宋体" w:cs="宋体"/>
          <w:spacing w:val="-3"/>
          <w:sz w:val="24"/>
          <w:szCs w:val="24"/>
        </w:rPr>
        <w:t>监测职业病危害因素和定期职业健康体检等。</w:t>
      </w:r>
    </w:p>
    <w:p w14:paraId="525F7D1A">
      <w:pPr>
        <w:spacing w:before="33" w:line="220" w:lineRule="auto"/>
        <w:ind w:left="1476"/>
        <w:rPr>
          <w:rFonts w:ascii="宋体" w:hAnsi="宋体" w:eastAsia="宋体" w:cs="宋体"/>
          <w:sz w:val="24"/>
          <w:szCs w:val="24"/>
        </w:rPr>
      </w:pPr>
      <w:r>
        <w:rPr>
          <w:rFonts w:ascii="宋体" w:hAnsi="宋体" w:eastAsia="宋体" w:cs="宋体"/>
          <w:spacing w:val="-1"/>
          <w:sz w:val="24"/>
          <w:szCs w:val="24"/>
        </w:rPr>
        <w:t>（2） 落实安全生产责任制，制定应急预案</w:t>
      </w:r>
    </w:p>
    <w:p w14:paraId="0DC92790">
      <w:pPr>
        <w:spacing w:before="183" w:line="352" w:lineRule="auto"/>
        <w:ind w:left="990" w:right="305" w:firstLine="487"/>
        <w:rPr>
          <w:rFonts w:ascii="宋体" w:hAnsi="宋体" w:eastAsia="宋体" w:cs="宋体"/>
          <w:sz w:val="24"/>
          <w:szCs w:val="24"/>
        </w:rPr>
      </w:pPr>
      <w:r>
        <w:rPr>
          <w:rFonts w:ascii="宋体" w:hAnsi="宋体" w:eastAsia="宋体" w:cs="宋体"/>
          <w:spacing w:val="-1"/>
          <w:sz w:val="24"/>
          <w:szCs w:val="24"/>
        </w:rPr>
        <w:t>公司坚持“安全第一，预防为主、综合管理”原则，完善三级安全生产网络</w:t>
      </w:r>
      <w:r>
        <w:rPr>
          <w:rFonts w:ascii="宋体" w:hAnsi="宋体" w:eastAsia="宋体" w:cs="宋体"/>
          <w:spacing w:val="3"/>
          <w:sz w:val="24"/>
          <w:szCs w:val="24"/>
        </w:rPr>
        <w:t xml:space="preserve"> </w:t>
      </w:r>
      <w:r>
        <w:rPr>
          <w:rFonts w:ascii="宋体" w:hAnsi="宋体" w:eastAsia="宋体" w:cs="宋体"/>
          <w:sz w:val="24"/>
          <w:szCs w:val="24"/>
        </w:rPr>
        <w:t>组织，逐级量化安全生产考核，全面提升安全生产技防</w:t>
      </w:r>
      <w:r>
        <w:rPr>
          <w:rFonts w:ascii="宋体" w:hAnsi="宋体" w:eastAsia="宋体" w:cs="宋体"/>
          <w:spacing w:val="-1"/>
          <w:sz w:val="24"/>
          <w:szCs w:val="24"/>
        </w:rPr>
        <w:t>水平，安全管理投入较上</w:t>
      </w:r>
      <w:r>
        <w:rPr>
          <w:rFonts w:ascii="宋体" w:hAnsi="宋体" w:eastAsia="宋体" w:cs="宋体"/>
          <w:sz w:val="24"/>
          <w:szCs w:val="24"/>
        </w:rPr>
        <w:t xml:space="preserve"> </w:t>
      </w:r>
      <w:r>
        <w:rPr>
          <w:rFonts w:ascii="宋体" w:hAnsi="宋体" w:eastAsia="宋体" w:cs="宋体"/>
          <w:spacing w:val="-1"/>
          <w:sz w:val="24"/>
          <w:szCs w:val="24"/>
        </w:rPr>
        <w:t>年增长35%，新技术和新设备得到广泛应用，事故率明显降低，确保全年无死亡</w:t>
      </w:r>
      <w:r>
        <w:rPr>
          <w:rFonts w:ascii="宋体" w:hAnsi="宋体" w:eastAsia="宋体" w:cs="宋体"/>
          <w:spacing w:val="7"/>
          <w:sz w:val="24"/>
          <w:szCs w:val="24"/>
        </w:rPr>
        <w:t xml:space="preserve">  </w:t>
      </w:r>
      <w:r>
        <w:rPr>
          <w:rFonts w:ascii="宋体" w:hAnsi="宋体" w:eastAsia="宋体" w:cs="宋体"/>
          <w:spacing w:val="-4"/>
          <w:sz w:val="24"/>
          <w:szCs w:val="24"/>
        </w:rPr>
        <w:t>事故，职业病发病率为零。</w:t>
      </w:r>
    </w:p>
    <w:p w14:paraId="668C3481">
      <w:pPr>
        <w:spacing w:before="36" w:line="220" w:lineRule="auto"/>
        <w:ind w:left="1476"/>
        <w:rPr>
          <w:rFonts w:ascii="宋体" w:hAnsi="宋体" w:eastAsia="宋体" w:cs="宋体"/>
          <w:sz w:val="24"/>
          <w:szCs w:val="24"/>
        </w:rPr>
      </w:pPr>
      <w:r>
        <w:rPr>
          <w:rFonts w:ascii="宋体" w:hAnsi="宋体" w:eastAsia="宋体" w:cs="宋体"/>
          <w:spacing w:val="-3"/>
          <w:sz w:val="24"/>
          <w:szCs w:val="24"/>
        </w:rPr>
        <w:t>（3）积极推进生产安全建设</w:t>
      </w:r>
    </w:p>
    <w:p w14:paraId="0F8F9347">
      <w:pPr>
        <w:spacing w:before="180" w:line="354" w:lineRule="auto"/>
        <w:ind w:left="990" w:firstLine="487"/>
        <w:rPr>
          <w:rFonts w:ascii="宋体" w:hAnsi="宋体" w:eastAsia="宋体" w:cs="宋体"/>
          <w:sz w:val="24"/>
          <w:szCs w:val="24"/>
        </w:rPr>
      </w:pPr>
      <w:r>
        <w:rPr>
          <w:rFonts w:ascii="宋体" w:hAnsi="宋体" w:eastAsia="宋体" w:cs="宋体"/>
          <w:spacing w:val="1"/>
          <w:sz w:val="24"/>
          <w:szCs w:val="24"/>
        </w:rPr>
        <w:t>公司与各部门签订“安全生产责任书”，针对用电、用气、治安、特种设备、</w:t>
      </w:r>
      <w:r>
        <w:rPr>
          <w:rFonts w:ascii="宋体" w:hAnsi="宋体" w:eastAsia="宋体" w:cs="宋体"/>
          <w:spacing w:val="13"/>
          <w:sz w:val="24"/>
          <w:szCs w:val="24"/>
        </w:rPr>
        <w:t xml:space="preserve"> </w:t>
      </w:r>
      <w:r>
        <w:rPr>
          <w:rFonts w:ascii="宋体" w:hAnsi="宋体" w:eastAsia="宋体" w:cs="宋体"/>
          <w:sz w:val="24"/>
          <w:szCs w:val="24"/>
        </w:rPr>
        <w:t>特种作业人员、动火、危险作业的施工人员和设备、安</w:t>
      </w:r>
      <w:r>
        <w:rPr>
          <w:rFonts w:ascii="宋体" w:hAnsi="宋体" w:eastAsia="宋体" w:cs="宋体"/>
          <w:spacing w:val="-1"/>
          <w:sz w:val="24"/>
          <w:szCs w:val="24"/>
        </w:rPr>
        <w:t>全管理组织机构配置专职</w:t>
      </w:r>
      <w:r>
        <w:rPr>
          <w:rFonts w:ascii="宋体" w:hAnsi="宋体" w:eastAsia="宋体" w:cs="宋体"/>
          <w:sz w:val="24"/>
          <w:szCs w:val="24"/>
        </w:rPr>
        <w:t xml:space="preserve">   安全监督管理人员、安全管理规章制度等方面，开展定</w:t>
      </w:r>
      <w:r>
        <w:rPr>
          <w:rFonts w:ascii="宋体" w:hAnsi="宋体" w:eastAsia="宋体" w:cs="宋体"/>
          <w:spacing w:val="-1"/>
          <w:sz w:val="24"/>
          <w:szCs w:val="24"/>
        </w:rPr>
        <w:t>期和不定期的施工现场检</w:t>
      </w:r>
      <w:r>
        <w:rPr>
          <w:rFonts w:ascii="宋体" w:hAnsi="宋体" w:eastAsia="宋体" w:cs="宋体"/>
          <w:sz w:val="24"/>
          <w:szCs w:val="24"/>
        </w:rPr>
        <w:t xml:space="preserve">   查，通过现场教育或下达责令单限期整改、经济处罚等</w:t>
      </w:r>
      <w:r>
        <w:rPr>
          <w:rFonts w:ascii="宋体" w:hAnsi="宋体" w:eastAsia="宋体" w:cs="宋体"/>
          <w:spacing w:val="-1"/>
          <w:sz w:val="24"/>
          <w:szCs w:val="24"/>
        </w:rPr>
        <w:t>形式，做好新、改、扩建</w:t>
      </w:r>
      <w:r>
        <w:rPr>
          <w:rFonts w:ascii="宋体" w:hAnsi="宋体" w:eastAsia="宋体" w:cs="宋体"/>
          <w:sz w:val="24"/>
          <w:szCs w:val="24"/>
        </w:rPr>
        <w:t xml:space="preserve">   </w:t>
      </w:r>
      <w:r>
        <w:rPr>
          <w:rFonts w:ascii="宋体" w:hAnsi="宋体" w:eastAsia="宋体" w:cs="宋体"/>
          <w:spacing w:val="-2"/>
          <w:sz w:val="24"/>
          <w:szCs w:val="24"/>
        </w:rPr>
        <w:t>项目“三同时”的安全工作，确保工程在施工期间不发生重大事故。</w:t>
      </w:r>
    </w:p>
    <w:p w14:paraId="296851B7">
      <w:pPr>
        <w:spacing w:line="354" w:lineRule="auto"/>
        <w:rPr>
          <w:rFonts w:ascii="宋体" w:hAnsi="宋体" w:eastAsia="宋体" w:cs="宋体"/>
          <w:sz w:val="24"/>
          <w:szCs w:val="24"/>
        </w:rPr>
        <w:sectPr>
          <w:headerReference r:id="rId25" w:type="default"/>
          <w:footerReference r:id="rId26" w:type="default"/>
          <w:pgSz w:w="11912" w:h="16841"/>
          <w:pgMar w:top="1074" w:right="1503" w:bottom="1360" w:left="720" w:header="399" w:footer="1199" w:gutter="0"/>
          <w:cols w:space="720" w:num="1"/>
        </w:sectPr>
      </w:pPr>
    </w:p>
    <w:p w14:paraId="2879E8B0">
      <w:pPr>
        <w:pStyle w:val="2"/>
        <w:spacing w:line="285" w:lineRule="auto"/>
      </w:pPr>
    </w:p>
    <w:p w14:paraId="556FE750">
      <w:pPr>
        <w:pStyle w:val="2"/>
        <w:spacing w:line="285" w:lineRule="auto"/>
      </w:pPr>
    </w:p>
    <w:p w14:paraId="51607FAF">
      <w:pPr>
        <w:spacing w:before="101" w:line="224" w:lineRule="auto"/>
        <w:ind w:left="1006"/>
        <w:outlineLvl w:val="0"/>
        <w:rPr>
          <w:rFonts w:ascii="宋体" w:hAnsi="宋体" w:eastAsia="宋体" w:cs="宋体"/>
          <w:sz w:val="31"/>
          <w:szCs w:val="31"/>
        </w:rPr>
      </w:pPr>
      <w:r>
        <w:rPr>
          <w:rFonts w:ascii="宋体" w:hAnsi="宋体" w:eastAsia="宋体" w:cs="宋体"/>
          <w:spacing w:val="5"/>
          <w:sz w:val="31"/>
          <w:szCs w:val="31"/>
        </w:rPr>
        <w:t>（六）供应商管理</w:t>
      </w:r>
    </w:p>
    <w:p w14:paraId="3900B5EF">
      <w:pPr>
        <w:spacing w:before="294" w:line="352" w:lineRule="auto"/>
        <w:ind w:left="993" w:right="300" w:firstLine="484"/>
        <w:rPr>
          <w:rFonts w:ascii="宋体" w:hAnsi="宋体" w:eastAsia="宋体" w:cs="宋体"/>
          <w:sz w:val="24"/>
          <w:szCs w:val="24"/>
        </w:rPr>
      </w:pPr>
      <w:r>
        <w:rPr>
          <w:rFonts w:ascii="宋体" w:hAnsi="宋体" w:eastAsia="宋体" w:cs="宋体"/>
          <w:spacing w:val="-1"/>
          <w:sz w:val="24"/>
          <w:szCs w:val="24"/>
        </w:rPr>
        <w:t>公司开始推进供应商管理体系，建立了供应商管理制度和供应商评估体系，</w:t>
      </w:r>
      <w:r>
        <w:rPr>
          <w:rFonts w:ascii="宋体" w:hAnsi="宋体" w:eastAsia="宋体" w:cs="宋体"/>
          <w:spacing w:val="16"/>
          <w:sz w:val="24"/>
          <w:szCs w:val="24"/>
        </w:rPr>
        <w:t xml:space="preserve"> </w:t>
      </w:r>
      <w:r>
        <w:rPr>
          <w:rFonts w:ascii="宋体" w:hAnsi="宋体" w:eastAsia="宋体" w:cs="宋体"/>
          <w:sz w:val="24"/>
          <w:szCs w:val="24"/>
        </w:rPr>
        <w:t>组织供应商资质评审，对合格供应商进行管理考</w:t>
      </w:r>
      <w:r>
        <w:rPr>
          <w:rFonts w:ascii="宋体" w:hAnsi="宋体" w:eastAsia="宋体" w:cs="宋体"/>
          <w:spacing w:val="-1"/>
          <w:sz w:val="24"/>
          <w:szCs w:val="24"/>
        </w:rPr>
        <w:t>核，将供货质量、交货及时性等</w:t>
      </w:r>
      <w:r>
        <w:rPr>
          <w:rFonts w:ascii="宋体" w:hAnsi="宋体" w:eastAsia="宋体" w:cs="宋体"/>
          <w:sz w:val="24"/>
          <w:szCs w:val="24"/>
        </w:rPr>
        <w:t xml:space="preserve"> 维度纳入考核中，根据各项考核指标评定供应商的风险等</w:t>
      </w:r>
      <w:r>
        <w:rPr>
          <w:rFonts w:ascii="宋体" w:hAnsi="宋体" w:eastAsia="宋体" w:cs="宋体"/>
          <w:spacing w:val="-1"/>
          <w:sz w:val="24"/>
          <w:szCs w:val="24"/>
        </w:rPr>
        <w:t>级，</w:t>
      </w:r>
      <w:r>
        <w:rPr>
          <w:rFonts w:hint="eastAsia" w:ascii="宋体" w:hAnsi="宋体" w:eastAsia="宋体" w:cs="宋体"/>
          <w:spacing w:val="-1"/>
          <w:sz w:val="24"/>
          <w:szCs w:val="24"/>
          <w:lang w:eastAsia="zh-CN"/>
        </w:rPr>
        <w:t>2024</w:t>
      </w:r>
      <w:r>
        <w:rPr>
          <w:rFonts w:ascii="宋体" w:hAnsi="宋体" w:eastAsia="宋体" w:cs="宋体"/>
          <w:spacing w:val="-1"/>
          <w:sz w:val="24"/>
          <w:szCs w:val="24"/>
        </w:rPr>
        <w:t>年低风险供应</w:t>
      </w:r>
      <w:r>
        <w:rPr>
          <w:rFonts w:ascii="宋体" w:hAnsi="宋体" w:eastAsia="宋体" w:cs="宋体"/>
          <w:sz w:val="24"/>
          <w:szCs w:val="24"/>
        </w:rPr>
        <w:t xml:space="preserve"> </w:t>
      </w:r>
      <w:r>
        <w:rPr>
          <w:rFonts w:ascii="宋体" w:hAnsi="宋体" w:eastAsia="宋体" w:cs="宋体"/>
          <w:spacing w:val="-3"/>
          <w:sz w:val="24"/>
          <w:szCs w:val="24"/>
        </w:rPr>
        <w:t>商占比68.29%，供应商风险等级评定结果如下：</w:t>
      </w:r>
    </w:p>
    <w:tbl>
      <w:tblPr>
        <w:tblStyle w:val="5"/>
        <w:tblW w:w="8730" w:type="dxa"/>
        <w:tblInd w:w="8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7"/>
        <w:gridCol w:w="1350"/>
        <w:gridCol w:w="1317"/>
        <w:gridCol w:w="1315"/>
        <w:gridCol w:w="1315"/>
        <w:gridCol w:w="1286"/>
      </w:tblGrid>
      <w:tr w14:paraId="0DF92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47" w:type="dxa"/>
            <w:vAlign w:val="top"/>
          </w:tcPr>
          <w:p w14:paraId="3C5B2531">
            <w:pPr>
              <w:pStyle w:val="6"/>
              <w:spacing w:before="96" w:line="219" w:lineRule="auto"/>
              <w:ind w:left="315"/>
            </w:pPr>
            <w:r>
              <w:rPr>
                <w:spacing w:val="-2"/>
              </w:rPr>
              <w:t>供应商风险类型</w:t>
            </w:r>
          </w:p>
        </w:tc>
        <w:tc>
          <w:tcPr>
            <w:tcW w:w="1350" w:type="dxa"/>
            <w:vAlign w:val="top"/>
          </w:tcPr>
          <w:p w14:paraId="1BB48D81">
            <w:pPr>
              <w:pStyle w:val="6"/>
              <w:spacing w:before="95" w:line="219" w:lineRule="auto"/>
              <w:ind w:left="246"/>
            </w:pPr>
            <w:r>
              <w:rPr>
                <w:spacing w:val="-3"/>
              </w:rPr>
              <w:t>很低风险</w:t>
            </w:r>
          </w:p>
        </w:tc>
        <w:tc>
          <w:tcPr>
            <w:tcW w:w="1317" w:type="dxa"/>
            <w:vAlign w:val="top"/>
          </w:tcPr>
          <w:p w14:paraId="24B35E48">
            <w:pPr>
              <w:pStyle w:val="6"/>
              <w:spacing w:before="96" w:line="219" w:lineRule="auto"/>
              <w:ind w:left="338"/>
            </w:pPr>
            <w:r>
              <w:rPr>
                <w:spacing w:val="-3"/>
              </w:rPr>
              <w:t>低风险</w:t>
            </w:r>
          </w:p>
        </w:tc>
        <w:tc>
          <w:tcPr>
            <w:tcW w:w="1315" w:type="dxa"/>
            <w:vAlign w:val="top"/>
          </w:tcPr>
          <w:p w14:paraId="13409F42">
            <w:pPr>
              <w:pStyle w:val="6"/>
              <w:spacing w:before="95" w:line="219" w:lineRule="auto"/>
              <w:ind w:left="365"/>
            </w:pPr>
            <w:r>
              <w:rPr>
                <w:spacing w:val="-10"/>
              </w:rPr>
              <w:t>中风险</w:t>
            </w:r>
          </w:p>
        </w:tc>
        <w:tc>
          <w:tcPr>
            <w:tcW w:w="1315" w:type="dxa"/>
            <w:vAlign w:val="top"/>
          </w:tcPr>
          <w:p w14:paraId="677BBC9A">
            <w:pPr>
              <w:pStyle w:val="6"/>
              <w:spacing w:before="95" w:line="220" w:lineRule="auto"/>
              <w:ind w:left="346"/>
            </w:pPr>
            <w:r>
              <w:rPr>
                <w:spacing w:val="-5"/>
              </w:rPr>
              <w:t>高风险</w:t>
            </w:r>
          </w:p>
        </w:tc>
        <w:tc>
          <w:tcPr>
            <w:tcW w:w="1286" w:type="dxa"/>
            <w:vAlign w:val="top"/>
          </w:tcPr>
          <w:p w14:paraId="22B3EDFD">
            <w:pPr>
              <w:pStyle w:val="6"/>
              <w:spacing w:before="95" w:line="219" w:lineRule="auto"/>
              <w:ind w:left="440"/>
            </w:pPr>
            <w:r>
              <w:rPr>
                <w:spacing w:val="-5"/>
              </w:rPr>
              <w:t>合计</w:t>
            </w:r>
          </w:p>
        </w:tc>
      </w:tr>
      <w:tr w14:paraId="78EA5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147" w:type="dxa"/>
            <w:vAlign w:val="top"/>
          </w:tcPr>
          <w:p w14:paraId="20E873B9">
            <w:pPr>
              <w:pStyle w:val="6"/>
              <w:spacing w:before="89" w:line="219" w:lineRule="auto"/>
              <w:ind w:left="865"/>
            </w:pPr>
            <w:r>
              <w:rPr>
                <w:spacing w:val="-4"/>
              </w:rPr>
              <w:t>数量</w:t>
            </w:r>
          </w:p>
        </w:tc>
        <w:tc>
          <w:tcPr>
            <w:tcW w:w="1350" w:type="dxa"/>
            <w:vAlign w:val="top"/>
          </w:tcPr>
          <w:p w14:paraId="5D4B9272">
            <w:pPr>
              <w:spacing w:before="130" w:line="184" w:lineRule="auto"/>
              <w:ind w:left="626"/>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317" w:type="dxa"/>
            <w:vAlign w:val="top"/>
          </w:tcPr>
          <w:p w14:paraId="758BAE23">
            <w:pPr>
              <w:spacing w:before="126" w:line="187" w:lineRule="auto"/>
              <w:ind w:left="54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23</w:t>
            </w:r>
          </w:p>
        </w:tc>
        <w:tc>
          <w:tcPr>
            <w:tcW w:w="1315" w:type="dxa"/>
            <w:vAlign w:val="top"/>
          </w:tcPr>
          <w:p w14:paraId="78212F60">
            <w:pPr>
              <w:spacing w:before="127" w:line="187" w:lineRule="auto"/>
              <w:ind w:left="574"/>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11</w:t>
            </w:r>
          </w:p>
        </w:tc>
        <w:tc>
          <w:tcPr>
            <w:tcW w:w="1315" w:type="dxa"/>
            <w:vAlign w:val="top"/>
          </w:tcPr>
          <w:p w14:paraId="299385CE">
            <w:pPr>
              <w:spacing w:before="127" w:line="187" w:lineRule="auto"/>
              <w:ind w:left="606"/>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286" w:type="dxa"/>
            <w:vAlign w:val="top"/>
          </w:tcPr>
          <w:p w14:paraId="4DA10E94">
            <w:pPr>
              <w:spacing w:before="127" w:line="187" w:lineRule="auto"/>
              <w:ind w:left="5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41</w:t>
            </w:r>
          </w:p>
        </w:tc>
      </w:tr>
      <w:tr w14:paraId="37932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47" w:type="dxa"/>
            <w:vAlign w:val="top"/>
          </w:tcPr>
          <w:p w14:paraId="60C43822">
            <w:pPr>
              <w:pStyle w:val="6"/>
              <w:spacing w:before="92" w:line="225" w:lineRule="auto"/>
              <w:ind w:left="904"/>
            </w:pPr>
            <w:r>
              <w:rPr>
                <w:spacing w:val="-13"/>
              </w:rPr>
              <w:t>占比</w:t>
            </w:r>
          </w:p>
        </w:tc>
        <w:tc>
          <w:tcPr>
            <w:tcW w:w="1350" w:type="dxa"/>
            <w:vAlign w:val="top"/>
          </w:tcPr>
          <w:p w14:paraId="58FEE26E">
            <w:pPr>
              <w:spacing w:before="130" w:line="187" w:lineRule="auto"/>
              <w:ind w:left="35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12.20%</w:t>
            </w:r>
          </w:p>
        </w:tc>
        <w:tc>
          <w:tcPr>
            <w:tcW w:w="1317" w:type="dxa"/>
            <w:vAlign w:val="top"/>
          </w:tcPr>
          <w:p w14:paraId="246EBF65">
            <w:pPr>
              <w:spacing w:before="130" w:line="187" w:lineRule="auto"/>
              <w:ind w:left="325"/>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56.10%</w:t>
            </w:r>
          </w:p>
        </w:tc>
        <w:tc>
          <w:tcPr>
            <w:tcW w:w="1315" w:type="dxa"/>
            <w:vAlign w:val="top"/>
          </w:tcPr>
          <w:p w14:paraId="0D5B8019">
            <w:pPr>
              <w:spacing w:before="130" w:line="187" w:lineRule="auto"/>
              <w:ind w:left="317"/>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26.83%</w:t>
            </w:r>
          </w:p>
        </w:tc>
        <w:tc>
          <w:tcPr>
            <w:tcW w:w="1315" w:type="dxa"/>
            <w:vAlign w:val="top"/>
          </w:tcPr>
          <w:p w14:paraId="6BC0A7AE">
            <w:pPr>
              <w:spacing w:before="130" w:line="187" w:lineRule="auto"/>
              <w:ind w:left="37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4.88%</w:t>
            </w:r>
          </w:p>
        </w:tc>
        <w:tc>
          <w:tcPr>
            <w:tcW w:w="1286" w:type="dxa"/>
            <w:vAlign w:val="top"/>
          </w:tcPr>
          <w:p w14:paraId="6A6EF409">
            <w:pPr>
              <w:spacing w:before="130" w:line="187" w:lineRule="auto"/>
              <w:ind w:left="32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100.0%</w:t>
            </w:r>
          </w:p>
        </w:tc>
      </w:tr>
      <w:tr w14:paraId="72E11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2147" w:type="dxa"/>
            <w:vAlign w:val="top"/>
          </w:tcPr>
          <w:p w14:paraId="440E85EC">
            <w:pPr>
              <w:pStyle w:val="6"/>
              <w:spacing w:before="91" w:line="219" w:lineRule="auto"/>
              <w:ind w:left="644"/>
            </w:pPr>
            <w:r>
              <w:rPr>
                <w:spacing w:val="-3"/>
              </w:rPr>
              <w:t>数量小计</w:t>
            </w:r>
          </w:p>
        </w:tc>
        <w:tc>
          <w:tcPr>
            <w:tcW w:w="2667" w:type="dxa"/>
            <w:gridSpan w:val="2"/>
            <w:vAlign w:val="top"/>
          </w:tcPr>
          <w:p w14:paraId="73632652">
            <w:pPr>
              <w:spacing w:before="129" w:line="187" w:lineRule="auto"/>
              <w:ind w:left="122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28</w:t>
            </w:r>
          </w:p>
        </w:tc>
        <w:tc>
          <w:tcPr>
            <w:tcW w:w="2630" w:type="dxa"/>
            <w:gridSpan w:val="2"/>
            <w:vAlign w:val="top"/>
          </w:tcPr>
          <w:p w14:paraId="7FA14976">
            <w:pPr>
              <w:spacing w:before="129" w:line="187" w:lineRule="auto"/>
              <w:ind w:left="1226"/>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13</w:t>
            </w:r>
          </w:p>
        </w:tc>
        <w:tc>
          <w:tcPr>
            <w:tcW w:w="1286" w:type="dxa"/>
            <w:vAlign w:val="top"/>
          </w:tcPr>
          <w:p w14:paraId="215A6FDF">
            <w:pPr>
              <w:spacing w:before="129" w:line="187" w:lineRule="auto"/>
              <w:ind w:left="53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41</w:t>
            </w:r>
          </w:p>
        </w:tc>
      </w:tr>
      <w:tr w14:paraId="7D30F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147" w:type="dxa"/>
            <w:vAlign w:val="top"/>
          </w:tcPr>
          <w:p w14:paraId="47A12157">
            <w:pPr>
              <w:pStyle w:val="6"/>
              <w:spacing w:before="92" w:line="219" w:lineRule="auto"/>
              <w:ind w:left="683"/>
            </w:pPr>
            <w:r>
              <w:rPr>
                <w:spacing w:val="-10"/>
              </w:rPr>
              <w:t>占比小计</w:t>
            </w:r>
          </w:p>
        </w:tc>
        <w:tc>
          <w:tcPr>
            <w:tcW w:w="2667" w:type="dxa"/>
            <w:gridSpan w:val="2"/>
            <w:vAlign w:val="top"/>
          </w:tcPr>
          <w:p w14:paraId="1A3683F9">
            <w:pPr>
              <w:spacing w:before="130" w:line="187" w:lineRule="auto"/>
              <w:ind w:left="99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68.29%</w:t>
            </w:r>
          </w:p>
        </w:tc>
        <w:tc>
          <w:tcPr>
            <w:tcW w:w="2630" w:type="dxa"/>
            <w:gridSpan w:val="2"/>
            <w:vAlign w:val="top"/>
          </w:tcPr>
          <w:p w14:paraId="65FAAE95">
            <w:pPr>
              <w:spacing w:before="130" w:line="187" w:lineRule="auto"/>
              <w:ind w:left="98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31.71%</w:t>
            </w:r>
          </w:p>
        </w:tc>
        <w:tc>
          <w:tcPr>
            <w:tcW w:w="1286" w:type="dxa"/>
            <w:vAlign w:val="top"/>
          </w:tcPr>
          <w:p w14:paraId="0544D970">
            <w:pPr>
              <w:spacing w:before="130" w:line="187" w:lineRule="auto"/>
              <w:ind w:left="4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100%</w:t>
            </w:r>
          </w:p>
        </w:tc>
      </w:tr>
    </w:tbl>
    <w:p w14:paraId="7E560570">
      <w:pPr>
        <w:spacing w:before="287" w:line="225" w:lineRule="auto"/>
        <w:ind w:left="1006"/>
        <w:outlineLvl w:val="0"/>
        <w:rPr>
          <w:rFonts w:ascii="宋体" w:hAnsi="宋体" w:eastAsia="宋体" w:cs="宋体"/>
          <w:sz w:val="31"/>
          <w:szCs w:val="31"/>
        </w:rPr>
      </w:pPr>
      <w:r>
        <w:rPr>
          <w:rFonts w:ascii="宋体" w:hAnsi="宋体" w:eastAsia="宋体" w:cs="宋体"/>
          <w:spacing w:val="5"/>
          <w:sz w:val="31"/>
          <w:szCs w:val="31"/>
        </w:rPr>
        <w:t>（七）顾客与消费者权益</w:t>
      </w:r>
    </w:p>
    <w:p w14:paraId="0318DDAC">
      <w:pPr>
        <w:spacing w:before="294" w:line="220" w:lineRule="auto"/>
        <w:ind w:left="1477"/>
        <w:rPr>
          <w:rFonts w:ascii="宋体" w:hAnsi="宋体" w:eastAsia="宋体" w:cs="宋体"/>
          <w:sz w:val="24"/>
          <w:szCs w:val="24"/>
        </w:rPr>
      </w:pPr>
      <w:r>
        <w:rPr>
          <w:rFonts w:ascii="宋体" w:hAnsi="宋体" w:eastAsia="宋体" w:cs="宋体"/>
          <w:spacing w:val="-2"/>
          <w:sz w:val="24"/>
          <w:szCs w:val="24"/>
        </w:rPr>
        <w:t>公司不断强化和优化全过程的质量控制链，建立明确的质量安全追</w:t>
      </w:r>
      <w:r>
        <w:rPr>
          <w:rFonts w:ascii="宋体" w:hAnsi="宋体" w:eastAsia="宋体" w:cs="宋体"/>
          <w:spacing w:val="-3"/>
          <w:sz w:val="24"/>
          <w:szCs w:val="24"/>
        </w:rPr>
        <w:t>溯程序，</w:t>
      </w:r>
    </w:p>
    <w:p w14:paraId="2B9DE205">
      <w:pPr>
        <w:spacing w:before="183" w:line="355" w:lineRule="auto"/>
        <w:ind w:left="989"/>
        <w:rPr>
          <w:rFonts w:ascii="宋体" w:hAnsi="宋体" w:eastAsia="宋体" w:cs="宋体"/>
          <w:sz w:val="24"/>
          <w:szCs w:val="24"/>
        </w:rPr>
      </w:pPr>
      <w:r>
        <w:rPr>
          <w:rFonts w:ascii="宋体" w:hAnsi="宋体" w:eastAsia="宋体" w:cs="宋体"/>
          <w:sz w:val="24"/>
          <w:szCs w:val="24"/>
        </w:rPr>
        <w:t>对人、机、料、法、环、测等质量影响因素进行系统梳理</w:t>
      </w:r>
      <w:r>
        <w:rPr>
          <w:rFonts w:ascii="宋体" w:hAnsi="宋体" w:eastAsia="宋体" w:cs="宋体"/>
          <w:spacing w:val="-1"/>
          <w:sz w:val="24"/>
          <w:szCs w:val="24"/>
        </w:rPr>
        <w:t>，明确关键工序和质量</w:t>
      </w:r>
      <w:r>
        <w:rPr>
          <w:rFonts w:ascii="宋体" w:hAnsi="宋体" w:eastAsia="宋体" w:cs="宋体"/>
          <w:sz w:val="24"/>
          <w:szCs w:val="24"/>
        </w:rPr>
        <w:t xml:space="preserve">   </w:t>
      </w:r>
      <w:r>
        <w:rPr>
          <w:rFonts w:ascii="宋体" w:hAnsi="宋体" w:eastAsia="宋体" w:cs="宋体"/>
          <w:spacing w:val="1"/>
          <w:sz w:val="24"/>
          <w:szCs w:val="24"/>
        </w:rPr>
        <w:t>控制点，不断改进工序，推广使用环保材料。同时严把材料关，加强对原辅材料、</w:t>
      </w:r>
      <w:r>
        <w:rPr>
          <w:rFonts w:ascii="宋体" w:hAnsi="宋体" w:eastAsia="宋体" w:cs="宋体"/>
          <w:spacing w:val="17"/>
          <w:sz w:val="24"/>
          <w:szCs w:val="24"/>
        </w:rPr>
        <w:t xml:space="preserve"> </w:t>
      </w:r>
      <w:r>
        <w:rPr>
          <w:rFonts w:ascii="宋体" w:hAnsi="宋体" w:eastAsia="宋体" w:cs="宋体"/>
          <w:sz w:val="24"/>
          <w:szCs w:val="24"/>
        </w:rPr>
        <w:t>半成品、成品的检测和检验力度，确保产品质量和安全，</w:t>
      </w:r>
      <w:r>
        <w:rPr>
          <w:rFonts w:ascii="宋体" w:hAnsi="宋体" w:eastAsia="宋体" w:cs="宋体"/>
          <w:spacing w:val="-1"/>
          <w:sz w:val="24"/>
          <w:szCs w:val="24"/>
        </w:rPr>
        <w:t>营造良好的终端购物体</w:t>
      </w:r>
      <w:r>
        <w:rPr>
          <w:rFonts w:ascii="宋体" w:hAnsi="宋体" w:eastAsia="宋体" w:cs="宋体"/>
          <w:sz w:val="24"/>
          <w:szCs w:val="24"/>
        </w:rPr>
        <w:t xml:space="preserve">   验，切实提高服务质量。佳尔灵建设有内部独立实验室，</w:t>
      </w:r>
      <w:r>
        <w:rPr>
          <w:rFonts w:ascii="宋体" w:hAnsi="宋体" w:eastAsia="宋体" w:cs="宋体"/>
          <w:spacing w:val="-1"/>
          <w:sz w:val="24"/>
          <w:szCs w:val="24"/>
        </w:rPr>
        <w:t>从产品设计研发到交付</w:t>
      </w:r>
      <w:r>
        <w:rPr>
          <w:rFonts w:ascii="宋体" w:hAnsi="宋体" w:eastAsia="宋体" w:cs="宋体"/>
          <w:sz w:val="24"/>
          <w:szCs w:val="24"/>
        </w:rPr>
        <w:t xml:space="preserve">   客户过程中每个环节都进行周期性的测试，确保产品符合</w:t>
      </w:r>
      <w:r>
        <w:rPr>
          <w:rFonts w:ascii="宋体" w:hAnsi="宋体" w:eastAsia="宋体" w:cs="宋体"/>
          <w:spacing w:val="-1"/>
          <w:sz w:val="24"/>
          <w:szCs w:val="24"/>
        </w:rPr>
        <w:t>质量要求。让企业从硬</w:t>
      </w:r>
      <w:r>
        <w:rPr>
          <w:rFonts w:ascii="宋体" w:hAnsi="宋体" w:eastAsia="宋体" w:cs="宋体"/>
          <w:sz w:val="24"/>
          <w:szCs w:val="24"/>
        </w:rPr>
        <w:t xml:space="preserve">   件到人员各方面都能得到更规范的调整，更能促进企业的</w:t>
      </w:r>
      <w:r>
        <w:rPr>
          <w:rFonts w:ascii="宋体" w:hAnsi="宋体" w:eastAsia="宋体" w:cs="宋体"/>
          <w:spacing w:val="-1"/>
          <w:sz w:val="24"/>
          <w:szCs w:val="24"/>
        </w:rPr>
        <w:t>发展，更能保证产品质</w:t>
      </w:r>
      <w:r>
        <w:rPr>
          <w:rFonts w:ascii="宋体" w:hAnsi="宋体" w:eastAsia="宋体" w:cs="宋体"/>
          <w:sz w:val="24"/>
          <w:szCs w:val="24"/>
        </w:rPr>
        <w:t xml:space="preserve">   </w:t>
      </w:r>
      <w:r>
        <w:rPr>
          <w:rFonts w:ascii="宋体" w:hAnsi="宋体" w:eastAsia="宋体" w:cs="宋体"/>
          <w:spacing w:val="-5"/>
          <w:sz w:val="24"/>
          <w:szCs w:val="24"/>
        </w:rPr>
        <w:t>量，保障公众安全。</w:t>
      </w:r>
    </w:p>
    <w:p w14:paraId="6C1B770A">
      <w:pPr>
        <w:spacing w:before="286" w:line="225" w:lineRule="auto"/>
        <w:ind w:left="1006"/>
        <w:outlineLvl w:val="0"/>
        <w:rPr>
          <w:rFonts w:ascii="宋体" w:hAnsi="宋体" w:eastAsia="宋体" w:cs="宋体"/>
          <w:sz w:val="31"/>
          <w:szCs w:val="31"/>
        </w:rPr>
      </w:pPr>
      <w:r>
        <w:rPr>
          <w:rFonts w:ascii="宋体" w:hAnsi="宋体" w:eastAsia="宋体" w:cs="宋体"/>
          <w:spacing w:val="4"/>
          <w:sz w:val="31"/>
          <w:szCs w:val="31"/>
        </w:rPr>
        <w:t>（八）公益支持</w:t>
      </w:r>
    </w:p>
    <w:p w14:paraId="571E08B5">
      <w:pPr>
        <w:spacing w:before="294" w:line="350" w:lineRule="auto"/>
        <w:ind w:left="989" w:right="204" w:firstLine="488"/>
        <w:jc w:val="both"/>
        <w:rPr>
          <w:rFonts w:ascii="宋体" w:hAnsi="宋体" w:eastAsia="宋体" w:cs="宋体"/>
          <w:sz w:val="24"/>
          <w:szCs w:val="24"/>
        </w:rPr>
      </w:pPr>
      <w:r>
        <w:rPr>
          <w:rFonts w:ascii="宋体" w:hAnsi="宋体" w:eastAsia="宋体" w:cs="宋体"/>
          <w:spacing w:val="2"/>
          <w:sz w:val="24"/>
          <w:szCs w:val="24"/>
        </w:rPr>
        <w:t>公司建立并有效实施了困难职工帮扶救助制度，除了对职工患病住院、家庭</w:t>
      </w:r>
      <w:r>
        <w:rPr>
          <w:rFonts w:ascii="宋体" w:hAnsi="宋体" w:eastAsia="宋体" w:cs="宋体"/>
          <w:spacing w:val="14"/>
          <w:sz w:val="24"/>
          <w:szCs w:val="24"/>
        </w:rPr>
        <w:t xml:space="preserve"> </w:t>
      </w:r>
      <w:r>
        <w:rPr>
          <w:rFonts w:ascii="宋体" w:hAnsi="宋体" w:eastAsia="宋体" w:cs="宋体"/>
          <w:spacing w:val="2"/>
          <w:sz w:val="24"/>
          <w:szCs w:val="24"/>
        </w:rPr>
        <w:t>遇有喜、丧事等做到了送温暖上门，一个不落地进行慰问，对于职工子女上大学</w:t>
      </w:r>
      <w:r>
        <w:rPr>
          <w:rFonts w:ascii="宋体" w:hAnsi="宋体" w:eastAsia="宋体" w:cs="宋体"/>
          <w:spacing w:val="15"/>
          <w:sz w:val="24"/>
          <w:szCs w:val="24"/>
        </w:rPr>
        <w:t xml:space="preserve"> </w:t>
      </w:r>
      <w:r>
        <w:rPr>
          <w:rFonts w:ascii="宋体" w:hAnsi="宋体" w:eastAsia="宋体" w:cs="宋体"/>
          <w:spacing w:val="-2"/>
          <w:sz w:val="24"/>
          <w:szCs w:val="24"/>
        </w:rPr>
        <w:t>也给予一定的资金鼓励，大大提高了职工的凝聚力和向心力。</w:t>
      </w:r>
    </w:p>
    <w:p w14:paraId="74413CEC">
      <w:pPr>
        <w:spacing w:before="37" w:line="344" w:lineRule="auto"/>
        <w:ind w:left="999" w:right="230" w:firstLine="471"/>
        <w:rPr>
          <w:rFonts w:ascii="宋体" w:hAnsi="宋体" w:eastAsia="宋体" w:cs="宋体"/>
          <w:sz w:val="24"/>
          <w:szCs w:val="24"/>
        </w:rPr>
      </w:pPr>
      <w:r>
        <w:rPr>
          <w:rFonts w:ascii="宋体" w:hAnsi="宋体" w:eastAsia="宋体" w:cs="宋体"/>
          <w:spacing w:val="2"/>
          <w:sz w:val="24"/>
          <w:szCs w:val="24"/>
        </w:rPr>
        <w:t>佳尔灵汽车积极反哺社会，踊跃地向社会捐赠，用于扶困济贫、</w:t>
      </w:r>
      <w:r>
        <w:rPr>
          <w:rFonts w:ascii="宋体" w:hAnsi="宋体" w:eastAsia="宋体" w:cs="宋体"/>
          <w:spacing w:val="1"/>
          <w:sz w:val="24"/>
          <w:szCs w:val="24"/>
        </w:rPr>
        <w:t>教育事业、</w:t>
      </w:r>
      <w:r>
        <w:rPr>
          <w:rFonts w:ascii="宋体" w:hAnsi="宋体" w:eastAsia="宋体" w:cs="宋体"/>
          <w:sz w:val="24"/>
          <w:szCs w:val="24"/>
        </w:rPr>
        <w:t xml:space="preserve"> </w:t>
      </w:r>
      <w:r>
        <w:rPr>
          <w:rFonts w:ascii="宋体" w:hAnsi="宋体" w:eastAsia="宋体" w:cs="宋体"/>
          <w:spacing w:val="-2"/>
          <w:sz w:val="24"/>
          <w:szCs w:val="24"/>
        </w:rPr>
        <w:t>员工福利，通过龙泉市慈善总会、龙泉红十字会等机构对外开展帮扶助困活动。</w:t>
      </w:r>
    </w:p>
    <w:sectPr>
      <w:headerReference r:id="rId27" w:type="default"/>
      <w:footerReference r:id="rId28" w:type="default"/>
      <w:pgSz w:w="11912" w:h="16841"/>
      <w:pgMar w:top="1074" w:right="1506" w:bottom="1360" w:left="720" w:header="399" w:footer="120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D6111">
    <w:pPr>
      <w:spacing w:line="174" w:lineRule="auto"/>
      <w:ind w:left="5149"/>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209C9">
    <w:pPr>
      <w:spacing w:line="174" w:lineRule="auto"/>
      <w:ind w:left="5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ABFE0">
    <w:pPr>
      <w:spacing w:line="174" w:lineRule="auto"/>
      <w:ind w:left="5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9AB30">
    <w:pPr>
      <w:spacing w:line="174" w:lineRule="auto"/>
      <w:ind w:left="5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CA4A5">
    <w:pPr>
      <w:spacing w:line="174" w:lineRule="auto"/>
      <w:ind w:left="5152"/>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3FFBC">
    <w:pPr>
      <w:spacing w:line="174" w:lineRule="auto"/>
      <w:ind w:left="5148"/>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35E68">
    <w:pPr>
      <w:spacing w:line="171" w:lineRule="auto"/>
      <w:ind w:left="5154"/>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F4ACB">
    <w:pPr>
      <w:spacing w:line="174" w:lineRule="auto"/>
      <w:ind w:left="5153"/>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85A1E">
    <w:pPr>
      <w:spacing w:line="171" w:lineRule="auto"/>
      <w:ind w:left="5152"/>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E4CE7">
    <w:pPr>
      <w:spacing w:line="174" w:lineRule="auto"/>
      <w:ind w:left="5156"/>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8C976">
    <w:pPr>
      <w:spacing w:line="174" w:lineRule="auto"/>
      <w:ind w:left="5152"/>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14361">
    <w:pPr>
      <w:spacing w:line="174" w:lineRule="auto"/>
      <w:ind w:left="516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8F1BE">
    <w:pPr>
      <w:spacing w:line="665" w:lineRule="exact"/>
    </w:pPr>
    <w:r>
      <w:rPr>
        <w:position w:val="-13"/>
      </w:rPr>
      <w:drawing>
        <wp:inline distT="0" distB="0" distL="0" distR="0">
          <wp:extent cx="1529080" cy="422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529714" cy="42227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14FE">
    <w:pPr>
      <w:spacing w:line="665" w:lineRule="exact"/>
    </w:pPr>
    <w:r>
      <w:rPr>
        <w:position w:val="-13"/>
      </w:rPr>
      <w:drawing>
        <wp:inline distT="0" distB="0" distL="0" distR="0">
          <wp:extent cx="1529080" cy="4222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529714" cy="4222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95A7F">
    <w:pPr>
      <w:spacing w:line="665" w:lineRule="exact"/>
    </w:pPr>
    <w:r>
      <w:rPr>
        <w:position w:val="-13"/>
      </w:rPr>
      <w:drawing>
        <wp:inline distT="0" distB="0" distL="0" distR="0">
          <wp:extent cx="1529080" cy="4222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1529714" cy="42227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16CDD">
    <w:pPr>
      <w:spacing w:line="665" w:lineRule="exact"/>
    </w:pPr>
    <w:r>
      <w:rPr>
        <w:position w:val="-13"/>
      </w:rPr>
      <w:drawing>
        <wp:inline distT="0" distB="0" distL="0" distR="0">
          <wp:extent cx="1529080" cy="422275"/>
          <wp:effectExtent l="0" t="0" r="0" b="0"/>
          <wp:docPr id="1" name="IM 6"/>
          <wp:cNvGraphicFramePr/>
          <a:graphic xmlns:a="http://schemas.openxmlformats.org/drawingml/2006/main">
            <a:graphicData uri="http://schemas.openxmlformats.org/drawingml/2006/picture">
              <pic:pic xmlns:pic="http://schemas.openxmlformats.org/drawingml/2006/picture">
                <pic:nvPicPr>
                  <pic:cNvPr id="1" name="IM 6"/>
                  <pic:cNvPicPr/>
                </pic:nvPicPr>
                <pic:blipFill>
                  <a:blip r:embed="rId1"/>
                  <a:stretch>
                    <a:fillRect/>
                  </a:stretch>
                </pic:blipFill>
                <pic:spPr>
                  <a:xfrm>
                    <a:off x="0" y="0"/>
                    <a:ext cx="1529714" cy="42227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2AAA1">
    <w:pPr>
      <w:spacing w:line="665" w:lineRule="exact"/>
    </w:pPr>
    <w:r>
      <w:rPr>
        <w:position w:val="-13"/>
      </w:rPr>
      <w:drawing>
        <wp:inline distT="0" distB="0" distL="0" distR="0">
          <wp:extent cx="1529080" cy="4222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529714" cy="42227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79F60">
    <w:pPr>
      <w:spacing w:line="665" w:lineRule="exact"/>
    </w:pPr>
    <w:r>
      <w:rPr>
        <w:position w:val="-13"/>
      </w:rPr>
      <w:drawing>
        <wp:inline distT="0" distB="0" distL="0" distR="0">
          <wp:extent cx="1529080" cy="4222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529714" cy="42227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A27AC">
    <w:pPr>
      <w:spacing w:line="665" w:lineRule="exact"/>
    </w:pPr>
    <w:r>
      <w:rPr>
        <w:position w:val="-13"/>
      </w:rPr>
      <w:drawing>
        <wp:inline distT="0" distB="0" distL="0" distR="0">
          <wp:extent cx="1529080" cy="4222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529714" cy="42227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9A9E5">
    <w:pPr>
      <w:spacing w:line="665" w:lineRule="exact"/>
    </w:pPr>
    <w:r>
      <w:rPr>
        <w:position w:val="-13"/>
      </w:rPr>
      <w:drawing>
        <wp:inline distT="0" distB="0" distL="0" distR="0">
          <wp:extent cx="1529080" cy="4222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529714" cy="42227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28022">
    <w:pPr>
      <w:spacing w:line="665" w:lineRule="exact"/>
    </w:pPr>
    <w:r>
      <w:rPr>
        <w:position w:val="-13"/>
      </w:rPr>
      <w:drawing>
        <wp:inline distT="0" distB="0" distL="0" distR="0">
          <wp:extent cx="1529080" cy="422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529714" cy="4222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79C11">
    <w:pPr>
      <w:spacing w:line="665" w:lineRule="exact"/>
    </w:pPr>
    <w:r>
      <w:rPr>
        <w:position w:val="-13"/>
      </w:rPr>
      <w:drawing>
        <wp:inline distT="0" distB="0" distL="0" distR="0">
          <wp:extent cx="1529080" cy="422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529714" cy="422275"/>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7D055">
    <w:pPr>
      <w:spacing w:line="665" w:lineRule="exact"/>
    </w:pPr>
    <w:r>
      <w:rPr>
        <w:position w:val="-13"/>
      </w:rPr>
      <w:drawing>
        <wp:inline distT="0" distB="0" distL="0" distR="0">
          <wp:extent cx="1529080" cy="422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529714" cy="4222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0C5B">
    <w:pPr>
      <w:spacing w:line="665" w:lineRule="exact"/>
    </w:pPr>
    <w:r>
      <w:rPr>
        <w:position w:val="-13"/>
      </w:rPr>
      <w:drawing>
        <wp:inline distT="0" distB="0" distL="0" distR="0">
          <wp:extent cx="1529080" cy="4222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529714" cy="4222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3E80689"/>
    <w:rsid w:val="2388218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仿宋" w:hAnsi="仿宋" w:eastAsia="仿宋" w:cs="仿宋"/>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13</Pages>
  <Words>3894</Words>
  <Characters>4014</Characters>
  <TotalTime>0</TotalTime>
  <ScaleCrop>false</ScaleCrop>
  <LinksUpToDate>false</LinksUpToDate>
  <CharactersWithSpaces>4140</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2024-06-08T09:29:00Z</dcterms:created>
  <dc:creator>吴文顺</dc:creator>
  <cp:lastModifiedBy>xuanyeyeye</cp:lastModifiedBy>
  <dcterms:modified xsi:type="dcterms:W3CDTF">2025-06-03T06:20:39Z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2025-05-20T10:01:55Z</vt:filetime>
  </property>
  <property fmtid="{D5CDD505-2E9C-101B-9397-08002B2CF9AE}" pid="4" name="KSOTemplateDocerSaveRecord">
    <vt:lpwstr>eyJoZGlkIjoiNTFkMzQwZDMyNDQxNGRjNDRhYjBjYzUwYmM2NDAwOWIiLCJ1c2VySWQiOiI0MDg0MTI3NjAifQ==</vt:lpwstr>
  </property>
  <property fmtid="{D5CDD505-2E9C-101B-9397-08002B2CF9AE}" pid="5" name="KSOProductBuildVer">
    <vt:lpwstr>2052-12.1.0.21171</vt:lpwstr>
  </property>
  <property fmtid="{D5CDD505-2E9C-101B-9397-08002B2CF9AE}" pid="6" name="ICV">
    <vt:lpwstr>CCA8CE0CC7D442D6A02DE50E47E4733B_12</vt:lpwstr>
  </property>
</Properties>
</file>